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E2F0E"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eastAsia="ru-BY"/>
        </w:rPr>
      </w:pPr>
      <w:r w:rsidRPr="00F735E3">
        <w:rPr>
          <w:rFonts w:ascii="Times New Roman" w:eastAsia="Times New Roman" w:hAnsi="Times New Roman" w:cs="Times New Roman"/>
          <w:color w:val="202124"/>
          <w:sz w:val="24"/>
          <w:szCs w:val="24"/>
          <w:lang w:val="en" w:eastAsia="ru-BY"/>
        </w:rPr>
        <w:t>UDC 338.5</w:t>
      </w:r>
    </w:p>
    <w:p w14:paraId="175FFC90"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eastAsia="ru-BY"/>
        </w:rPr>
      </w:pPr>
    </w:p>
    <w:p w14:paraId="5868D6EF" w14:textId="4C2689E3"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202124"/>
          <w:lang w:val="en" w:eastAsia="ru-BY"/>
        </w:rPr>
      </w:pPr>
      <w:r w:rsidRPr="00F735E3">
        <w:rPr>
          <w:rFonts w:ascii="Times New Roman" w:eastAsia="Times New Roman" w:hAnsi="Times New Roman" w:cs="Times New Roman"/>
          <w:b/>
          <w:bCs/>
          <w:color w:val="202124"/>
          <w:lang w:val="en" w:eastAsia="ru-BY"/>
        </w:rPr>
        <w:t>E.</w:t>
      </w:r>
      <w:r>
        <w:rPr>
          <w:rFonts w:ascii="Times New Roman" w:eastAsia="Times New Roman" w:hAnsi="Times New Roman" w:cs="Times New Roman"/>
          <w:b/>
          <w:bCs/>
          <w:color w:val="202124"/>
          <w:lang w:val="en" w:eastAsia="ru-BY"/>
        </w:rPr>
        <w:t xml:space="preserve"> </w:t>
      </w:r>
      <w:r w:rsidRPr="00F735E3">
        <w:rPr>
          <w:rFonts w:ascii="Times New Roman" w:eastAsia="Times New Roman" w:hAnsi="Times New Roman" w:cs="Times New Roman"/>
          <w:b/>
          <w:bCs/>
          <w:color w:val="202124"/>
          <w:lang w:val="en" w:eastAsia="ru-BY"/>
        </w:rPr>
        <w:t xml:space="preserve">O. </w:t>
      </w:r>
      <w:proofErr w:type="spellStart"/>
      <w:r w:rsidRPr="00F735E3">
        <w:rPr>
          <w:rFonts w:ascii="Times New Roman" w:eastAsia="Times New Roman" w:hAnsi="Times New Roman" w:cs="Times New Roman"/>
          <w:b/>
          <w:bCs/>
          <w:color w:val="202124"/>
          <w:lang w:val="en" w:eastAsia="ru-BY"/>
        </w:rPr>
        <w:t>Gaidanovich</w:t>
      </w:r>
      <w:proofErr w:type="spellEnd"/>
    </w:p>
    <w:p w14:paraId="490A789F"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eastAsia="ru-BY"/>
        </w:rPr>
      </w:pPr>
    </w:p>
    <w:p w14:paraId="07B25711" w14:textId="6573CDC1"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202124"/>
          <w:lang w:val="en" w:eastAsia="ru-BY"/>
        </w:rPr>
      </w:pPr>
      <w:r w:rsidRPr="00F735E3">
        <w:rPr>
          <w:rFonts w:ascii="Times New Roman" w:eastAsia="Times New Roman" w:hAnsi="Times New Roman" w:cs="Times New Roman"/>
          <w:b/>
          <w:bCs/>
          <w:color w:val="202124"/>
          <w:lang w:val="en" w:eastAsia="ru-BY"/>
        </w:rPr>
        <w:t>REDUCING COST OF PRODUCTS</w:t>
      </w:r>
      <w:r>
        <w:rPr>
          <w:rFonts w:ascii="Times New Roman" w:eastAsia="Times New Roman" w:hAnsi="Times New Roman" w:cs="Times New Roman"/>
          <w:b/>
          <w:bCs/>
          <w:color w:val="202124"/>
          <w:lang w:val="en" w:eastAsia="ru-BY"/>
        </w:rPr>
        <w:t xml:space="preserve"> </w:t>
      </w:r>
      <w:r w:rsidRPr="00F735E3">
        <w:rPr>
          <w:rFonts w:ascii="Times New Roman" w:eastAsia="Times New Roman" w:hAnsi="Times New Roman" w:cs="Times New Roman"/>
          <w:b/>
          <w:bCs/>
          <w:color w:val="202124"/>
          <w:lang w:val="en" w:eastAsia="ru-BY"/>
        </w:rPr>
        <w:t>BY IMPLEMENTING INNOVATION</w:t>
      </w:r>
    </w:p>
    <w:p w14:paraId="5FC2D21C"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eastAsia="ru-BY"/>
        </w:rPr>
      </w:pPr>
    </w:p>
    <w:p w14:paraId="50035915"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color w:val="202124"/>
          <w:lang w:eastAsia="ru-BY"/>
        </w:rPr>
      </w:pPr>
      <w:r w:rsidRPr="00F735E3">
        <w:rPr>
          <w:rFonts w:ascii="Times New Roman" w:eastAsia="Times New Roman" w:hAnsi="Times New Roman" w:cs="Times New Roman"/>
          <w:i/>
          <w:iCs/>
          <w:color w:val="202124"/>
          <w:lang w:val="en" w:eastAsia="ru-BY"/>
        </w:rPr>
        <w:t>The innovation activity of organizations of the Republic of Belarus is analyzed. The necessary actions to accelerate innovation are investigated and the influence of the introduction of innovations on the reduction of production costs is revealed.</w:t>
      </w:r>
    </w:p>
    <w:p w14:paraId="393DE98B" w14:textId="17355031" w:rsidR="00F735E3" w:rsidRPr="00F735E3" w:rsidRDefault="00F735E3" w:rsidP="00F735E3">
      <w:pPr>
        <w:spacing w:after="0" w:line="240" w:lineRule="auto"/>
        <w:ind w:firstLine="567"/>
        <w:rPr>
          <w:rFonts w:ascii="Times New Roman" w:hAnsi="Times New Roman" w:cs="Times New Roman"/>
          <w:sz w:val="24"/>
          <w:szCs w:val="24"/>
        </w:rPr>
      </w:pPr>
    </w:p>
    <w:p w14:paraId="00DA49DC"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At the present stage of development of the national economy of Belarus, an important issue is the ability to withstand the competition with the goods of the world market. In this regard, it is necessary to look for ways to reduce production costs.</w:t>
      </w:r>
    </w:p>
    <w:p w14:paraId="51502DC6"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Due to the lack of a powerful raw material base, the Republic of Belarus is forced to import the components necessary for the production process. This increases the amount of costs that need to be included in the cost of production. This leads to an increase in the price of goods.</w:t>
      </w:r>
    </w:p>
    <w:p w14:paraId="0BF8EF42" w14:textId="17682646"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One of the most effective ways to reduce the cost of production for the enterprises of the republic is the introduction of innovations.</w:t>
      </w:r>
    </w:p>
    <w:p w14:paraId="462B7C23"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Currently, there are factors that impede the development of innovations in organizations:</w:t>
      </w:r>
    </w:p>
    <w:p w14:paraId="0D461BDE"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lack of own </w:t>
      </w:r>
      <w:proofErr w:type="gramStart"/>
      <w:r w:rsidRPr="00F735E3">
        <w:rPr>
          <w:rFonts w:ascii="Times New Roman" w:hAnsi="Times New Roman" w:cs="Times New Roman"/>
          <w:color w:val="202124"/>
          <w:sz w:val="24"/>
          <w:szCs w:val="24"/>
          <w:lang w:val="en"/>
        </w:rPr>
        <w:t>funds;</w:t>
      </w:r>
      <w:proofErr w:type="gramEnd"/>
    </w:p>
    <w:p w14:paraId="55A7BC42"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high cost of </w:t>
      </w:r>
      <w:proofErr w:type="gramStart"/>
      <w:r w:rsidRPr="00F735E3">
        <w:rPr>
          <w:rFonts w:ascii="Times New Roman" w:hAnsi="Times New Roman" w:cs="Times New Roman"/>
          <w:color w:val="202124"/>
          <w:sz w:val="24"/>
          <w:szCs w:val="24"/>
          <w:lang w:val="en"/>
        </w:rPr>
        <w:t>innovations;</w:t>
      </w:r>
      <w:proofErr w:type="gramEnd"/>
    </w:p>
    <w:p w14:paraId="1EEE1B0D"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significant economic </w:t>
      </w:r>
      <w:proofErr w:type="gramStart"/>
      <w:r w:rsidRPr="00F735E3">
        <w:rPr>
          <w:rFonts w:ascii="Times New Roman" w:hAnsi="Times New Roman" w:cs="Times New Roman"/>
          <w:color w:val="202124"/>
          <w:sz w:val="24"/>
          <w:szCs w:val="24"/>
          <w:lang w:val="en"/>
        </w:rPr>
        <w:t>risk;</w:t>
      </w:r>
      <w:proofErr w:type="gramEnd"/>
    </w:p>
    <w:p w14:paraId="2F908ADB"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long payback periods of </w:t>
      </w:r>
      <w:proofErr w:type="gramStart"/>
      <w:r w:rsidRPr="00F735E3">
        <w:rPr>
          <w:rFonts w:ascii="Times New Roman" w:hAnsi="Times New Roman" w:cs="Times New Roman"/>
          <w:color w:val="202124"/>
          <w:sz w:val="24"/>
          <w:szCs w:val="24"/>
          <w:lang w:val="en"/>
        </w:rPr>
        <w:t>innovations;</w:t>
      </w:r>
      <w:proofErr w:type="gramEnd"/>
    </w:p>
    <w:p w14:paraId="572BB1D3"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lack of support from the </w:t>
      </w:r>
      <w:proofErr w:type="gramStart"/>
      <w:r w:rsidRPr="00F735E3">
        <w:rPr>
          <w:rFonts w:ascii="Times New Roman" w:hAnsi="Times New Roman" w:cs="Times New Roman"/>
          <w:color w:val="202124"/>
          <w:sz w:val="24"/>
          <w:szCs w:val="24"/>
          <w:lang w:val="en"/>
        </w:rPr>
        <w:t>state;</w:t>
      </w:r>
      <w:proofErr w:type="gramEnd"/>
    </w:p>
    <w:p w14:paraId="4251C352"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low innovation potential of organizations, lack of qualified personnel, low effective demand for new types of products, underdevelopment of the technology market. [1, p. 101]</w:t>
      </w:r>
    </w:p>
    <w:p w14:paraId="55BEE832" w14:textId="28C2B4E0" w:rsid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In 2012, 437 industrial organizations carried out innovative activities on the territory of the Republic of Belarus. If we take the service sector, 45 organizations were innovatively active.</w:t>
      </w:r>
    </w:p>
    <w:p w14:paraId="2CAACFC7" w14:textId="452DC7E2" w:rsidR="00E13A31" w:rsidRDefault="00E13A31" w:rsidP="00AF0AD0">
      <w:pPr>
        <w:pStyle w:val="HTML"/>
        <w:ind w:firstLine="567"/>
        <w:jc w:val="both"/>
        <w:rPr>
          <w:rFonts w:ascii="Times New Roman" w:hAnsi="Times New Roman" w:cs="Times New Roman"/>
          <w:color w:val="202124"/>
          <w:sz w:val="24"/>
          <w:szCs w:val="24"/>
          <w:lang w:val="en"/>
        </w:rPr>
      </w:pPr>
      <w:r w:rsidRPr="00E13A31">
        <w:rPr>
          <w:rFonts w:ascii="Times New Roman" w:hAnsi="Times New Roman" w:cs="Times New Roman"/>
          <w:color w:val="202124"/>
          <w:sz w:val="24"/>
          <w:szCs w:val="24"/>
          <w:lang w:val="en"/>
        </w:rPr>
        <w:t>In the industry, the Vitebsk region occupies a leading position - 71 innovatively active organizations, and the Mogilev region is trailing - 35. In the service sector, the leader - Mogilev region - 4 innovatively active organizations, in the Minsk region (excluding the Minsk city) there are no such organizations at all. The main number of innovatively active organizations falls on the city of Minsk: in industry - 102, in the service sector - 34 [1, p. 61].</w:t>
      </w:r>
    </w:p>
    <w:p w14:paraId="5E07852D" w14:textId="4BFFBAB7" w:rsidR="00AF0AD0" w:rsidRPr="00AF0AD0" w:rsidRDefault="00AF0AD0" w:rsidP="00AF0AD0">
      <w:pPr>
        <w:pStyle w:val="HTML"/>
        <w:ind w:firstLine="567"/>
        <w:jc w:val="both"/>
        <w:rPr>
          <w:rFonts w:ascii="Times New Roman" w:hAnsi="Times New Roman" w:cs="Times New Roman"/>
          <w:color w:val="202124"/>
          <w:sz w:val="24"/>
          <w:szCs w:val="24"/>
          <w:lang w:val="en"/>
        </w:rPr>
      </w:pPr>
      <w:r w:rsidRPr="00AF0AD0">
        <w:rPr>
          <w:rFonts w:ascii="Times New Roman" w:hAnsi="Times New Roman" w:cs="Times New Roman"/>
          <w:color w:val="202124"/>
          <w:sz w:val="24"/>
          <w:szCs w:val="24"/>
          <w:lang w:val="en"/>
        </w:rPr>
        <w:t xml:space="preserve">The dynamics of changes in the number of innovatively active organizations in the Republic of Belarus is shown in </w:t>
      </w:r>
      <w:r>
        <w:rPr>
          <w:rFonts w:ascii="Times New Roman" w:hAnsi="Times New Roman" w:cs="Times New Roman"/>
          <w:color w:val="202124"/>
          <w:sz w:val="24"/>
          <w:szCs w:val="24"/>
          <w:lang w:val="en"/>
        </w:rPr>
        <w:t>f</w:t>
      </w:r>
      <w:r w:rsidRPr="00AF0AD0">
        <w:rPr>
          <w:rFonts w:ascii="Times New Roman" w:hAnsi="Times New Roman" w:cs="Times New Roman"/>
          <w:color w:val="202124"/>
          <w:sz w:val="24"/>
          <w:szCs w:val="24"/>
          <w:lang w:val="en"/>
        </w:rPr>
        <w:t>igure 1.</w:t>
      </w:r>
    </w:p>
    <w:p w14:paraId="50A1B4D7" w14:textId="04E48E2B" w:rsidR="00AF0AD0" w:rsidRPr="00AF0AD0" w:rsidRDefault="00AF0AD0" w:rsidP="00F735E3">
      <w:pPr>
        <w:pStyle w:val="HTML"/>
        <w:ind w:firstLine="567"/>
        <w:jc w:val="both"/>
        <w:rPr>
          <w:rFonts w:ascii="Times New Roman" w:hAnsi="Times New Roman" w:cs="Times New Roman"/>
          <w:color w:val="202124"/>
          <w:sz w:val="24"/>
          <w:szCs w:val="24"/>
        </w:rPr>
      </w:pPr>
      <w:r w:rsidRPr="00D92FB3">
        <w:rPr>
          <w:rFonts w:ascii="Times New Roman" w:hAnsi="Times New Roman" w:cs="Times New Roman"/>
          <w:noProof/>
          <w:lang w:eastAsia="ru-RU"/>
        </w:rPr>
        <w:drawing>
          <wp:inline distT="0" distB="0" distL="0" distR="0" wp14:anchorId="4F2EAEBC" wp14:editId="4CF23518">
            <wp:extent cx="5105400" cy="1390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6C8A15B" w14:textId="77777777" w:rsidR="00AF0AD0" w:rsidRPr="00AF0AD0" w:rsidRDefault="00AF0AD0" w:rsidP="00E13A31">
      <w:pPr>
        <w:spacing w:after="0" w:line="240" w:lineRule="auto"/>
        <w:ind w:firstLine="567"/>
        <w:jc w:val="both"/>
        <w:rPr>
          <w:rFonts w:ascii="Times New Roman" w:hAnsi="Times New Roman" w:cs="Times New Roman"/>
          <w:b/>
          <w:sz w:val="24"/>
          <w:szCs w:val="24"/>
          <w:lang w:val="ru-RU"/>
        </w:rPr>
      </w:pPr>
      <w:r w:rsidRPr="00AF0AD0">
        <w:rPr>
          <w:rFonts w:ascii="Times New Roman" w:hAnsi="Times New Roman" w:cs="Times New Roman"/>
          <w:b/>
          <w:sz w:val="24"/>
          <w:szCs w:val="24"/>
          <w:lang w:val="ru-RU"/>
        </w:rPr>
        <w:t xml:space="preserve">Figure 1 - </w:t>
      </w:r>
      <w:r w:rsidRPr="00E13A31">
        <w:rPr>
          <w:rFonts w:ascii="Times New Roman" w:hAnsi="Times New Roman" w:cs="Times New Roman"/>
          <w:bCs/>
          <w:sz w:val="24"/>
          <w:szCs w:val="24"/>
          <w:lang w:val="ru-RU"/>
        </w:rPr>
        <w:t>Innovative-active organizations of Belarus</w:t>
      </w:r>
    </w:p>
    <w:p w14:paraId="2DBF6B2A" w14:textId="77777777" w:rsidR="00E13A31" w:rsidRPr="00E13A31" w:rsidRDefault="00E13A31" w:rsidP="00E13A31">
      <w:pPr>
        <w:pStyle w:val="HTML"/>
        <w:ind w:firstLine="567"/>
        <w:jc w:val="both"/>
        <w:rPr>
          <w:rFonts w:ascii="Times New Roman" w:eastAsiaTheme="minorHAnsi" w:hAnsi="Times New Roman" w:cs="Times New Roman"/>
          <w:sz w:val="22"/>
          <w:szCs w:val="22"/>
          <w:lang w:val="ru-RU" w:eastAsia="en-US"/>
        </w:rPr>
      </w:pPr>
      <w:r w:rsidRPr="00E13A31">
        <w:rPr>
          <w:rFonts w:ascii="Times New Roman" w:eastAsiaTheme="minorHAnsi" w:hAnsi="Times New Roman" w:cs="Times New Roman"/>
          <w:i/>
          <w:sz w:val="22"/>
          <w:szCs w:val="22"/>
          <w:lang w:val="en-US" w:eastAsia="en-US"/>
        </w:rPr>
        <w:t>Source:</w:t>
      </w:r>
      <w:r>
        <w:rPr>
          <w:color w:val="202124"/>
          <w:sz w:val="42"/>
          <w:szCs w:val="42"/>
          <w:lang w:val="en"/>
        </w:rPr>
        <w:t xml:space="preserve"> </w:t>
      </w:r>
      <w:r w:rsidRPr="00E13A31">
        <w:rPr>
          <w:rFonts w:ascii="Times New Roman" w:eastAsiaTheme="minorHAnsi" w:hAnsi="Times New Roman" w:cs="Times New Roman"/>
          <w:sz w:val="22"/>
          <w:szCs w:val="22"/>
          <w:lang w:val="ru-RU" w:eastAsia="en-US"/>
        </w:rPr>
        <w:t>the author's own development based on the data [1, p. 59-60].</w:t>
      </w:r>
    </w:p>
    <w:p w14:paraId="2713408C" w14:textId="72E9E9CD" w:rsidR="00AF0AD0" w:rsidRPr="00E13A31" w:rsidRDefault="00AF0AD0" w:rsidP="00E13A31">
      <w:pPr>
        <w:pStyle w:val="HTML"/>
        <w:ind w:firstLine="567"/>
        <w:jc w:val="both"/>
        <w:rPr>
          <w:rFonts w:ascii="Times New Roman" w:hAnsi="Times New Roman" w:cs="Times New Roman"/>
          <w:color w:val="202124"/>
          <w:sz w:val="24"/>
          <w:szCs w:val="24"/>
          <w:lang w:val="en"/>
        </w:rPr>
      </w:pPr>
    </w:p>
    <w:p w14:paraId="2A847EEA" w14:textId="77777777" w:rsidR="00E13A31" w:rsidRPr="00E13A31" w:rsidRDefault="00E13A31" w:rsidP="00E13A31">
      <w:pPr>
        <w:pStyle w:val="HTML"/>
        <w:ind w:firstLine="567"/>
        <w:jc w:val="both"/>
        <w:rPr>
          <w:rFonts w:ascii="Times New Roman" w:hAnsi="Times New Roman" w:cs="Times New Roman"/>
          <w:color w:val="202124"/>
          <w:sz w:val="24"/>
          <w:szCs w:val="24"/>
          <w:lang w:val="en"/>
        </w:rPr>
      </w:pPr>
      <w:r w:rsidRPr="00E13A31">
        <w:rPr>
          <w:rFonts w:ascii="Times New Roman" w:hAnsi="Times New Roman" w:cs="Times New Roman"/>
          <w:color w:val="202124"/>
          <w:sz w:val="24"/>
          <w:szCs w:val="24"/>
          <w:lang w:val="en"/>
        </w:rPr>
        <w:t>Based on the scheme, we can conclude that the growth rate of innovatively active organizations in Belarus is not fast enough.</w:t>
      </w:r>
    </w:p>
    <w:p w14:paraId="36787A3D" w14:textId="77777777" w:rsidR="00E13A31" w:rsidRPr="00E13A31" w:rsidRDefault="00E13A31" w:rsidP="00E13A31">
      <w:pPr>
        <w:pStyle w:val="HTML"/>
        <w:ind w:firstLine="567"/>
        <w:rPr>
          <w:rFonts w:ascii="Times New Roman" w:hAnsi="Times New Roman" w:cs="Times New Roman"/>
          <w:color w:val="202124"/>
          <w:sz w:val="24"/>
          <w:szCs w:val="24"/>
          <w:lang w:val="en"/>
        </w:rPr>
      </w:pPr>
      <w:r w:rsidRPr="00E13A31">
        <w:rPr>
          <w:rFonts w:ascii="Times New Roman" w:hAnsi="Times New Roman" w:cs="Times New Roman"/>
          <w:color w:val="202124"/>
          <w:sz w:val="24"/>
          <w:szCs w:val="24"/>
          <w:lang w:val="en"/>
        </w:rPr>
        <w:t>All sources of financing innovations in the Republic of Belarus in 2012 are presented in Figure 2.</w:t>
      </w:r>
    </w:p>
    <w:p w14:paraId="7A203387" w14:textId="4E94EA51" w:rsidR="00E13A31" w:rsidRDefault="00E13A31" w:rsidP="00E13A31">
      <w:pPr>
        <w:pStyle w:val="HTML"/>
        <w:ind w:firstLine="567"/>
        <w:jc w:val="both"/>
        <w:rPr>
          <w:rFonts w:ascii="Times New Roman" w:hAnsi="Times New Roman" w:cs="Times New Roman"/>
          <w:color w:val="202124"/>
          <w:sz w:val="24"/>
          <w:szCs w:val="24"/>
        </w:rPr>
      </w:pPr>
      <w:r>
        <w:rPr>
          <w:noProof/>
          <w:lang w:eastAsia="ru-RU"/>
        </w:rPr>
        <w:lastRenderedPageBreak/>
        <w:drawing>
          <wp:inline distT="0" distB="0" distL="0" distR="0" wp14:anchorId="41EE021D" wp14:editId="5293A5AB">
            <wp:extent cx="4258235" cy="124609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5DA4ADE" w14:textId="77777777" w:rsidR="00E13A31" w:rsidRPr="00E13A31" w:rsidRDefault="00E13A31" w:rsidP="00E13A31">
      <w:pPr>
        <w:pStyle w:val="HTML"/>
        <w:ind w:firstLine="567"/>
        <w:rPr>
          <w:rFonts w:ascii="Times New Roman" w:eastAsiaTheme="minorHAnsi" w:hAnsi="Times New Roman" w:cs="Times New Roman"/>
          <w:bCs/>
          <w:sz w:val="24"/>
          <w:szCs w:val="24"/>
          <w:lang w:val="en-US" w:eastAsia="en-US"/>
        </w:rPr>
      </w:pPr>
      <w:r w:rsidRPr="00E13A31">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2</w:t>
      </w:r>
      <w:r w:rsidRPr="00E13A31">
        <w:rPr>
          <w:rFonts w:ascii="Times New Roman" w:hAnsi="Times New Roman" w:cs="Times New Roman"/>
          <w:b/>
          <w:sz w:val="24"/>
          <w:szCs w:val="24"/>
          <w:lang w:val="en-US"/>
        </w:rPr>
        <w:t xml:space="preserve"> </w:t>
      </w:r>
      <w:r w:rsidRPr="00E13A31">
        <w:rPr>
          <w:rFonts w:ascii="Times New Roman" w:hAnsi="Times New Roman" w:cs="Times New Roman"/>
          <w:bCs/>
          <w:sz w:val="24"/>
          <w:szCs w:val="24"/>
          <w:lang w:val="en-US"/>
        </w:rPr>
        <w:t xml:space="preserve">- </w:t>
      </w:r>
      <w:r w:rsidRPr="00E13A31">
        <w:rPr>
          <w:rFonts w:ascii="Times New Roman" w:eastAsiaTheme="minorHAnsi" w:hAnsi="Times New Roman" w:cs="Times New Roman"/>
          <w:bCs/>
          <w:sz w:val="24"/>
          <w:szCs w:val="24"/>
          <w:lang w:val="en-US" w:eastAsia="en-US"/>
        </w:rPr>
        <w:t>Current structure of funding sources, in%</w:t>
      </w:r>
    </w:p>
    <w:p w14:paraId="7E460FD7" w14:textId="410EF918" w:rsidR="00E13A31" w:rsidRPr="00E13A31" w:rsidRDefault="00E13A31" w:rsidP="00E13A31">
      <w:pPr>
        <w:pStyle w:val="HTML"/>
        <w:ind w:firstLine="567"/>
        <w:jc w:val="both"/>
        <w:rPr>
          <w:rFonts w:ascii="Times New Roman" w:eastAsiaTheme="minorHAnsi" w:hAnsi="Times New Roman" w:cs="Times New Roman"/>
          <w:sz w:val="22"/>
          <w:szCs w:val="22"/>
          <w:lang w:val="en-US" w:eastAsia="en-US"/>
        </w:rPr>
      </w:pPr>
      <w:r w:rsidRPr="00E13A31">
        <w:rPr>
          <w:rFonts w:ascii="Times New Roman" w:eastAsiaTheme="minorHAnsi" w:hAnsi="Times New Roman" w:cs="Times New Roman"/>
          <w:i/>
          <w:sz w:val="22"/>
          <w:szCs w:val="22"/>
          <w:lang w:val="en-US" w:eastAsia="en-US"/>
        </w:rPr>
        <w:t>Source:</w:t>
      </w:r>
      <w:r>
        <w:rPr>
          <w:color w:val="202124"/>
          <w:sz w:val="42"/>
          <w:szCs w:val="42"/>
          <w:lang w:val="en"/>
        </w:rPr>
        <w:t xml:space="preserve"> </w:t>
      </w:r>
      <w:r w:rsidRPr="00E13A31">
        <w:rPr>
          <w:rFonts w:ascii="Times New Roman" w:eastAsiaTheme="minorHAnsi" w:hAnsi="Times New Roman" w:cs="Times New Roman"/>
          <w:sz w:val="22"/>
          <w:szCs w:val="22"/>
          <w:lang w:val="en-US" w:eastAsia="en-US"/>
        </w:rPr>
        <w:t xml:space="preserve">the author's own development based on the data [1, p. </w:t>
      </w:r>
      <w:r>
        <w:rPr>
          <w:rFonts w:ascii="Times New Roman" w:eastAsiaTheme="minorHAnsi" w:hAnsi="Times New Roman" w:cs="Times New Roman"/>
          <w:sz w:val="22"/>
          <w:szCs w:val="22"/>
          <w:lang w:val="en-US" w:eastAsia="en-US"/>
        </w:rPr>
        <w:t>77</w:t>
      </w:r>
      <w:r w:rsidRPr="00E13A31">
        <w:rPr>
          <w:rFonts w:ascii="Times New Roman" w:eastAsiaTheme="minorHAnsi" w:hAnsi="Times New Roman" w:cs="Times New Roman"/>
          <w:sz w:val="22"/>
          <w:szCs w:val="22"/>
          <w:lang w:val="en-US" w:eastAsia="en-US"/>
        </w:rPr>
        <w:t>].</w:t>
      </w:r>
    </w:p>
    <w:p w14:paraId="197B0C6A" w14:textId="2097FC8D" w:rsidR="00E13A31" w:rsidRPr="00E13A31" w:rsidRDefault="00E13A31" w:rsidP="00E13A31">
      <w:pPr>
        <w:pStyle w:val="HTML"/>
        <w:ind w:firstLine="567"/>
        <w:jc w:val="both"/>
        <w:rPr>
          <w:rFonts w:ascii="Times New Roman" w:hAnsi="Times New Roman" w:cs="Times New Roman"/>
          <w:color w:val="202124"/>
          <w:sz w:val="24"/>
          <w:szCs w:val="24"/>
          <w:lang w:val="en-US"/>
        </w:rPr>
      </w:pPr>
    </w:p>
    <w:p w14:paraId="46CF1076" w14:textId="77777777" w:rsidR="00F735E3" w:rsidRPr="00F735E3" w:rsidRDefault="00F735E3" w:rsidP="00E13A31">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To determine the position of Belarus in the field of innovation, it is necessary to compare it with the countries of the world (table).</w:t>
      </w:r>
    </w:p>
    <w:p w14:paraId="10B76A8B" w14:textId="77777777" w:rsidR="00F735E3" w:rsidRPr="00F735E3" w:rsidRDefault="00F735E3" w:rsidP="00F735E3">
      <w:pPr>
        <w:pStyle w:val="HTML"/>
        <w:ind w:firstLine="567"/>
        <w:jc w:val="both"/>
        <w:rPr>
          <w:rFonts w:ascii="Times New Roman" w:hAnsi="Times New Roman" w:cs="Times New Roman"/>
          <w:color w:val="202124"/>
          <w:sz w:val="24"/>
          <w:szCs w:val="24"/>
        </w:rPr>
      </w:pPr>
      <w:r w:rsidRPr="00F735E3">
        <w:rPr>
          <w:rFonts w:ascii="Times New Roman" w:hAnsi="Times New Roman" w:cs="Times New Roman"/>
          <w:color w:val="202124"/>
          <w:sz w:val="24"/>
          <w:szCs w:val="24"/>
          <w:lang w:val="en"/>
        </w:rPr>
        <w:t>Table - Comparison of the main indicators of innovation activity in Belarus and foreign countries, in%</w:t>
      </w:r>
    </w:p>
    <w:p w14:paraId="1190FCA9" w14:textId="25FF0461" w:rsidR="00F735E3" w:rsidRPr="00F735E3" w:rsidRDefault="00F735E3" w:rsidP="00F735E3">
      <w:pPr>
        <w:pStyle w:val="HTML"/>
        <w:ind w:firstLine="567"/>
        <w:rPr>
          <w:rFonts w:ascii="Times New Roman" w:hAnsi="Times New Roman" w:cs="Times New Roman"/>
          <w:color w:val="202124"/>
          <w:sz w:val="24"/>
          <w:szCs w:val="24"/>
        </w:rPr>
      </w:pPr>
    </w:p>
    <w:tbl>
      <w:tblPr>
        <w:tblStyle w:val="a3"/>
        <w:tblW w:w="6237" w:type="dxa"/>
        <w:tblInd w:w="1706" w:type="dxa"/>
        <w:tblLook w:val="04A0" w:firstRow="1" w:lastRow="0" w:firstColumn="1" w:lastColumn="0" w:noHBand="0" w:noVBand="1"/>
      </w:tblPr>
      <w:tblGrid>
        <w:gridCol w:w="1804"/>
        <w:gridCol w:w="2073"/>
        <w:gridCol w:w="2360"/>
      </w:tblGrid>
      <w:tr w:rsidR="00F735E3" w:rsidRPr="00F735E3" w14:paraId="49B0DC5A" w14:textId="77777777" w:rsidTr="00793BDF">
        <w:tc>
          <w:tcPr>
            <w:tcW w:w="1804" w:type="dxa"/>
          </w:tcPr>
          <w:p w14:paraId="180058B0" w14:textId="3D6BBD21" w:rsidR="00F735E3" w:rsidRPr="00F735E3" w:rsidRDefault="00F735E3" w:rsidP="00F735E3">
            <w:pPr>
              <w:jc w:val="both"/>
              <w:rPr>
                <w:rFonts w:ascii="Times New Roman" w:hAnsi="Times New Roman" w:cs="Times New Roman"/>
                <w:sz w:val="18"/>
                <w:szCs w:val="20"/>
                <w:lang w:val="en-US"/>
              </w:rPr>
            </w:pPr>
            <w:r>
              <w:rPr>
                <w:rFonts w:ascii="Times New Roman" w:hAnsi="Times New Roman" w:cs="Times New Roman"/>
                <w:sz w:val="18"/>
                <w:szCs w:val="20"/>
                <w:lang w:val="en-US"/>
              </w:rPr>
              <w:t>Country</w:t>
            </w:r>
          </w:p>
        </w:tc>
        <w:tc>
          <w:tcPr>
            <w:tcW w:w="2073" w:type="dxa"/>
          </w:tcPr>
          <w:p w14:paraId="55E18AD8" w14:textId="06632CE9" w:rsidR="00F735E3" w:rsidRPr="00F735E3" w:rsidRDefault="00F735E3" w:rsidP="00F735E3">
            <w:pPr>
              <w:pStyle w:val="HTML"/>
              <w:shd w:val="clear" w:color="auto" w:fill="F8F9FA"/>
              <w:jc w:val="both"/>
              <w:rPr>
                <w:rFonts w:ascii="Times New Roman" w:hAnsi="Times New Roman" w:cs="Times New Roman"/>
                <w:color w:val="202124"/>
                <w:sz w:val="18"/>
                <w:szCs w:val="18"/>
                <w:lang w:val="ru-BY"/>
              </w:rPr>
            </w:pPr>
            <w:r w:rsidRPr="00F735E3">
              <w:rPr>
                <w:rFonts w:ascii="Times New Roman" w:hAnsi="Times New Roman" w:cs="Times New Roman"/>
                <w:color w:val="202124"/>
                <w:sz w:val="18"/>
                <w:szCs w:val="18"/>
                <w:lang w:val="en"/>
              </w:rPr>
              <w:t>Share of innovatively active organizations in the total number of surveyed organizations</w:t>
            </w:r>
          </w:p>
          <w:p w14:paraId="60571168" w14:textId="389F1BDC" w:rsidR="00F735E3" w:rsidRPr="00F735E3" w:rsidRDefault="00F735E3" w:rsidP="00F735E3">
            <w:pPr>
              <w:ind w:firstLine="567"/>
              <w:jc w:val="center"/>
              <w:rPr>
                <w:rFonts w:ascii="Times New Roman" w:hAnsi="Times New Roman" w:cs="Times New Roman"/>
                <w:sz w:val="18"/>
                <w:szCs w:val="20"/>
                <w:lang w:val="ru-BY"/>
              </w:rPr>
            </w:pPr>
          </w:p>
        </w:tc>
        <w:tc>
          <w:tcPr>
            <w:tcW w:w="2360" w:type="dxa"/>
          </w:tcPr>
          <w:p w14:paraId="6A52D285" w14:textId="77777777" w:rsidR="00F735E3" w:rsidRPr="00F735E3" w:rsidRDefault="00F735E3" w:rsidP="00F735E3">
            <w:pPr>
              <w:pStyle w:val="HTML"/>
              <w:shd w:val="clear" w:color="auto" w:fill="F8F9FA"/>
              <w:jc w:val="both"/>
              <w:rPr>
                <w:rFonts w:ascii="Times New Roman" w:hAnsi="Times New Roman" w:cs="Times New Roman"/>
                <w:color w:val="202124"/>
                <w:sz w:val="18"/>
                <w:szCs w:val="18"/>
                <w:lang w:val="en-US"/>
              </w:rPr>
            </w:pPr>
            <w:r w:rsidRPr="00F735E3">
              <w:rPr>
                <w:rFonts w:ascii="Times New Roman" w:hAnsi="Times New Roman" w:cs="Times New Roman"/>
                <w:color w:val="202124"/>
                <w:sz w:val="18"/>
                <w:szCs w:val="18"/>
                <w:lang w:val="en"/>
              </w:rPr>
              <w:t>Share of shipped innovative products in the total volume of shipped products</w:t>
            </w:r>
          </w:p>
          <w:p w14:paraId="0743A8D6" w14:textId="42EBC78A" w:rsidR="00F735E3" w:rsidRPr="00F735E3" w:rsidRDefault="00F735E3" w:rsidP="00F735E3">
            <w:pPr>
              <w:ind w:firstLine="567"/>
              <w:jc w:val="center"/>
              <w:rPr>
                <w:rFonts w:ascii="Times New Roman" w:hAnsi="Times New Roman" w:cs="Times New Roman"/>
                <w:sz w:val="18"/>
                <w:szCs w:val="20"/>
                <w:lang w:val="en-US"/>
              </w:rPr>
            </w:pPr>
          </w:p>
        </w:tc>
      </w:tr>
      <w:tr w:rsidR="00F735E3" w:rsidRPr="00F735E3" w14:paraId="2A27521B" w14:textId="77777777" w:rsidTr="00793BDF">
        <w:tc>
          <w:tcPr>
            <w:tcW w:w="1804" w:type="dxa"/>
          </w:tcPr>
          <w:p w14:paraId="210254E5" w14:textId="11794500"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Belarus</w:t>
            </w:r>
          </w:p>
        </w:tc>
        <w:tc>
          <w:tcPr>
            <w:tcW w:w="2073" w:type="dxa"/>
          </w:tcPr>
          <w:p w14:paraId="717F93C1"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22,8</w:t>
            </w:r>
          </w:p>
        </w:tc>
        <w:tc>
          <w:tcPr>
            <w:tcW w:w="2360" w:type="dxa"/>
          </w:tcPr>
          <w:p w14:paraId="465446A7"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17,8</w:t>
            </w:r>
          </w:p>
        </w:tc>
      </w:tr>
      <w:tr w:rsidR="00F735E3" w:rsidRPr="00F735E3" w14:paraId="5A6A168B" w14:textId="77777777" w:rsidTr="00793BDF">
        <w:tc>
          <w:tcPr>
            <w:tcW w:w="1804" w:type="dxa"/>
          </w:tcPr>
          <w:p w14:paraId="41859CB1" w14:textId="393CF620"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Russia</w:t>
            </w:r>
          </w:p>
        </w:tc>
        <w:tc>
          <w:tcPr>
            <w:tcW w:w="2073" w:type="dxa"/>
          </w:tcPr>
          <w:p w14:paraId="3DD905B2"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9,3</w:t>
            </w:r>
          </w:p>
        </w:tc>
        <w:tc>
          <w:tcPr>
            <w:tcW w:w="2360" w:type="dxa"/>
          </w:tcPr>
          <w:p w14:paraId="49BC5DDF"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41,3</w:t>
            </w:r>
          </w:p>
        </w:tc>
      </w:tr>
      <w:tr w:rsidR="00F735E3" w:rsidRPr="00F735E3" w14:paraId="359DEA7B" w14:textId="77777777" w:rsidTr="00793BDF">
        <w:tc>
          <w:tcPr>
            <w:tcW w:w="1804" w:type="dxa"/>
          </w:tcPr>
          <w:p w14:paraId="32EFA6DE" w14:textId="35D40A1E"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Germany</w:t>
            </w:r>
          </w:p>
        </w:tc>
        <w:tc>
          <w:tcPr>
            <w:tcW w:w="2073" w:type="dxa"/>
          </w:tcPr>
          <w:p w14:paraId="2EE15A5B"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65,8</w:t>
            </w:r>
          </w:p>
        </w:tc>
        <w:tc>
          <w:tcPr>
            <w:tcW w:w="2360" w:type="dxa"/>
          </w:tcPr>
          <w:p w14:paraId="16542862"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87,9</w:t>
            </w:r>
          </w:p>
        </w:tc>
      </w:tr>
      <w:tr w:rsidR="00F735E3" w:rsidRPr="00F735E3" w14:paraId="074F8B14" w14:textId="77777777" w:rsidTr="00793BDF">
        <w:tc>
          <w:tcPr>
            <w:tcW w:w="1804" w:type="dxa"/>
          </w:tcPr>
          <w:p w14:paraId="063930FA" w14:textId="749D6477"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Norway</w:t>
            </w:r>
          </w:p>
        </w:tc>
        <w:tc>
          <w:tcPr>
            <w:tcW w:w="2073" w:type="dxa"/>
          </w:tcPr>
          <w:p w14:paraId="5B189473"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39,3</w:t>
            </w:r>
          </w:p>
        </w:tc>
        <w:tc>
          <w:tcPr>
            <w:tcW w:w="2360" w:type="dxa"/>
          </w:tcPr>
          <w:p w14:paraId="5903F15E"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78</w:t>
            </w:r>
          </w:p>
        </w:tc>
      </w:tr>
      <w:tr w:rsidR="00F735E3" w:rsidRPr="00F735E3" w14:paraId="47C14D9F" w14:textId="77777777" w:rsidTr="00793BDF">
        <w:tc>
          <w:tcPr>
            <w:tcW w:w="1804" w:type="dxa"/>
          </w:tcPr>
          <w:p w14:paraId="11972F46" w14:textId="1CADD234"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Finland</w:t>
            </w:r>
          </w:p>
        </w:tc>
        <w:tc>
          <w:tcPr>
            <w:tcW w:w="2073" w:type="dxa"/>
          </w:tcPr>
          <w:p w14:paraId="6FFD3BF6"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48,6</w:t>
            </w:r>
          </w:p>
        </w:tc>
        <w:tc>
          <w:tcPr>
            <w:tcW w:w="2360" w:type="dxa"/>
          </w:tcPr>
          <w:p w14:paraId="60F23AA9"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87,4</w:t>
            </w:r>
          </w:p>
        </w:tc>
      </w:tr>
      <w:tr w:rsidR="00F735E3" w:rsidRPr="00F735E3" w14:paraId="13AB9988" w14:textId="77777777" w:rsidTr="00793BDF">
        <w:tc>
          <w:tcPr>
            <w:tcW w:w="1804" w:type="dxa"/>
          </w:tcPr>
          <w:p w14:paraId="5DCB99A3" w14:textId="0445189C"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France</w:t>
            </w:r>
          </w:p>
        </w:tc>
        <w:tc>
          <w:tcPr>
            <w:tcW w:w="2073" w:type="dxa"/>
          </w:tcPr>
          <w:p w14:paraId="66D1E9FD"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45,5</w:t>
            </w:r>
          </w:p>
        </w:tc>
        <w:tc>
          <w:tcPr>
            <w:tcW w:w="2360" w:type="dxa"/>
          </w:tcPr>
          <w:p w14:paraId="1E0A7EB5"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78,4</w:t>
            </w:r>
          </w:p>
        </w:tc>
      </w:tr>
      <w:tr w:rsidR="00F735E3" w:rsidRPr="00F735E3" w14:paraId="21768258" w14:textId="77777777" w:rsidTr="00793BDF">
        <w:trPr>
          <w:trHeight w:val="104"/>
        </w:trPr>
        <w:tc>
          <w:tcPr>
            <w:tcW w:w="1804" w:type="dxa"/>
          </w:tcPr>
          <w:p w14:paraId="392DBD97" w14:textId="1843D3A2"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Sweden</w:t>
            </w:r>
          </w:p>
        </w:tc>
        <w:tc>
          <w:tcPr>
            <w:tcW w:w="2073" w:type="dxa"/>
          </w:tcPr>
          <w:p w14:paraId="2ACF12C3"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47,2</w:t>
            </w:r>
          </w:p>
        </w:tc>
        <w:tc>
          <w:tcPr>
            <w:tcW w:w="2360" w:type="dxa"/>
          </w:tcPr>
          <w:p w14:paraId="650F9290"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85,6</w:t>
            </w:r>
          </w:p>
        </w:tc>
      </w:tr>
    </w:tbl>
    <w:p w14:paraId="3512AC74" w14:textId="77777777" w:rsidR="00AF0AD0" w:rsidRDefault="00AF0AD0" w:rsidP="00F735E3">
      <w:pPr>
        <w:pStyle w:val="HTML"/>
        <w:ind w:firstLine="567"/>
        <w:rPr>
          <w:rFonts w:ascii="Times New Roman" w:hAnsi="Times New Roman" w:cs="Times New Roman"/>
          <w:color w:val="202124"/>
          <w:sz w:val="22"/>
          <w:szCs w:val="22"/>
          <w:lang w:val="en"/>
        </w:rPr>
      </w:pPr>
    </w:p>
    <w:p w14:paraId="58080688" w14:textId="632F9FCF" w:rsidR="00F735E3" w:rsidRPr="00AF0AD0" w:rsidRDefault="00F735E3" w:rsidP="00F735E3">
      <w:pPr>
        <w:pStyle w:val="HTML"/>
        <w:ind w:firstLine="567"/>
        <w:rPr>
          <w:rFonts w:ascii="Times New Roman" w:hAnsi="Times New Roman" w:cs="Times New Roman"/>
          <w:color w:val="202124"/>
          <w:sz w:val="22"/>
          <w:szCs w:val="22"/>
          <w:lang w:val="en"/>
        </w:rPr>
      </w:pPr>
      <w:r w:rsidRPr="00AF0AD0">
        <w:rPr>
          <w:rFonts w:ascii="Times New Roman" w:hAnsi="Times New Roman" w:cs="Times New Roman"/>
          <w:color w:val="202124"/>
          <w:sz w:val="22"/>
          <w:szCs w:val="22"/>
          <w:lang w:val="en"/>
        </w:rPr>
        <w:t>Source: the author's own development based on the data [1, p. 111].</w:t>
      </w:r>
    </w:p>
    <w:p w14:paraId="05C7F5DC" w14:textId="77777777" w:rsidR="00AF0AD0" w:rsidRPr="00AF0AD0" w:rsidRDefault="00AF0AD0" w:rsidP="00AF0AD0">
      <w:pPr>
        <w:pStyle w:val="HTML"/>
        <w:ind w:firstLine="567"/>
        <w:jc w:val="both"/>
        <w:rPr>
          <w:rFonts w:ascii="Times New Roman" w:hAnsi="Times New Roman" w:cs="Times New Roman"/>
          <w:color w:val="202124"/>
          <w:sz w:val="24"/>
          <w:szCs w:val="24"/>
          <w:lang w:val="en"/>
        </w:rPr>
      </w:pPr>
    </w:p>
    <w:p w14:paraId="46EF6E44" w14:textId="7D1ABCBF" w:rsidR="00F735E3" w:rsidRPr="00AF0AD0" w:rsidRDefault="00F735E3" w:rsidP="00AF0AD0">
      <w:pPr>
        <w:pStyle w:val="HTML"/>
        <w:ind w:firstLine="567"/>
        <w:jc w:val="both"/>
        <w:rPr>
          <w:rFonts w:ascii="Times New Roman" w:hAnsi="Times New Roman" w:cs="Times New Roman"/>
          <w:color w:val="202124"/>
          <w:sz w:val="24"/>
          <w:szCs w:val="24"/>
          <w:lang w:val="en"/>
        </w:rPr>
      </w:pPr>
      <w:r w:rsidRPr="00AF0AD0">
        <w:rPr>
          <w:rFonts w:ascii="Times New Roman" w:hAnsi="Times New Roman" w:cs="Times New Roman"/>
          <w:color w:val="202124"/>
          <w:sz w:val="24"/>
          <w:szCs w:val="24"/>
          <w:lang w:val="en"/>
        </w:rPr>
        <w:t>Of course, it is obvious that the share of innovatively active organizations in Belarus is 2-3 times less than in European countries (except Russia), and the share of shipped innovative products is 3-4 times less.</w:t>
      </w:r>
    </w:p>
    <w:p w14:paraId="50DD156F" w14:textId="77777777" w:rsidR="00AF0AD0" w:rsidRDefault="00AF0AD0" w:rsidP="00AF0AD0">
      <w:pPr>
        <w:pStyle w:val="HTML"/>
        <w:ind w:firstLine="567"/>
        <w:jc w:val="center"/>
        <w:rPr>
          <w:rFonts w:ascii="Times New Roman" w:hAnsi="Times New Roman" w:cs="Times New Roman"/>
          <w:i/>
          <w:iCs/>
          <w:color w:val="202124"/>
          <w:sz w:val="22"/>
          <w:szCs w:val="22"/>
          <w:lang w:val="en"/>
        </w:rPr>
      </w:pPr>
    </w:p>
    <w:p w14:paraId="65F06903" w14:textId="59B35BFE" w:rsidR="00F735E3" w:rsidRPr="00AF0AD0" w:rsidRDefault="00F735E3" w:rsidP="00AF0AD0">
      <w:pPr>
        <w:pStyle w:val="HTML"/>
        <w:ind w:firstLine="567"/>
        <w:jc w:val="center"/>
        <w:rPr>
          <w:rFonts w:ascii="Times New Roman" w:hAnsi="Times New Roman" w:cs="Times New Roman"/>
          <w:i/>
          <w:iCs/>
          <w:color w:val="202124"/>
          <w:sz w:val="22"/>
          <w:szCs w:val="22"/>
          <w:lang w:val="en"/>
        </w:rPr>
      </w:pPr>
      <w:r w:rsidRPr="00AF0AD0">
        <w:rPr>
          <w:rFonts w:ascii="Times New Roman" w:hAnsi="Times New Roman" w:cs="Times New Roman"/>
          <w:i/>
          <w:iCs/>
          <w:color w:val="202124"/>
          <w:sz w:val="22"/>
          <w:szCs w:val="22"/>
          <w:lang w:val="en"/>
        </w:rPr>
        <w:t>List of references</w:t>
      </w:r>
    </w:p>
    <w:p w14:paraId="52F97F6A" w14:textId="77777777" w:rsidR="00F735E3" w:rsidRPr="00AF0AD0" w:rsidRDefault="00F735E3" w:rsidP="00F735E3">
      <w:pPr>
        <w:pStyle w:val="HTML"/>
        <w:ind w:firstLine="567"/>
        <w:rPr>
          <w:rFonts w:ascii="Times New Roman" w:hAnsi="Times New Roman" w:cs="Times New Roman"/>
          <w:color w:val="202124"/>
          <w:sz w:val="22"/>
          <w:szCs w:val="22"/>
          <w:lang w:val="en"/>
        </w:rPr>
      </w:pPr>
    </w:p>
    <w:p w14:paraId="4899F1DB" w14:textId="0AD50C04" w:rsidR="00F735E3" w:rsidRPr="00AF0AD0" w:rsidRDefault="00F735E3" w:rsidP="00F735E3">
      <w:pPr>
        <w:pStyle w:val="HTML"/>
        <w:ind w:firstLine="567"/>
        <w:rPr>
          <w:rFonts w:ascii="Times New Roman" w:hAnsi="Times New Roman" w:cs="Times New Roman"/>
          <w:color w:val="202124"/>
          <w:sz w:val="22"/>
          <w:szCs w:val="22"/>
        </w:rPr>
      </w:pPr>
      <w:r w:rsidRPr="00AF0AD0">
        <w:rPr>
          <w:rFonts w:ascii="Times New Roman" w:hAnsi="Times New Roman" w:cs="Times New Roman"/>
          <w:color w:val="202124"/>
          <w:sz w:val="22"/>
          <w:szCs w:val="22"/>
          <w:lang w:val="en"/>
        </w:rPr>
        <w:t xml:space="preserve">1. Science and innovation activity in the Republic of Belarus 2013: stat. Sat. / IN AND. </w:t>
      </w:r>
      <w:proofErr w:type="spellStart"/>
      <w:r w:rsidRPr="00AF0AD0">
        <w:rPr>
          <w:rFonts w:ascii="Times New Roman" w:hAnsi="Times New Roman" w:cs="Times New Roman"/>
          <w:color w:val="202124"/>
          <w:sz w:val="22"/>
          <w:szCs w:val="22"/>
          <w:lang w:val="en"/>
        </w:rPr>
        <w:t>Zinovsky</w:t>
      </w:r>
      <w:proofErr w:type="spellEnd"/>
      <w:r w:rsidRPr="00AF0AD0">
        <w:rPr>
          <w:rFonts w:ascii="Times New Roman" w:hAnsi="Times New Roman" w:cs="Times New Roman"/>
          <w:color w:val="202124"/>
          <w:sz w:val="22"/>
          <w:szCs w:val="22"/>
          <w:lang w:val="en"/>
        </w:rPr>
        <w:t xml:space="preserve"> [and others]. - Minsk: National Statistical Committee of the Republic of. Belarus</w:t>
      </w:r>
      <w:r w:rsidRPr="00E13A31">
        <w:rPr>
          <w:rFonts w:ascii="Times New Roman" w:hAnsi="Times New Roman" w:cs="Times New Roman"/>
          <w:color w:val="202124"/>
          <w:sz w:val="22"/>
          <w:szCs w:val="22"/>
          <w:lang w:val="ru-RU"/>
        </w:rPr>
        <w:t>, 2013</w:t>
      </w:r>
      <w:r w:rsidR="00AF0AD0" w:rsidRPr="00E13A31">
        <w:rPr>
          <w:rFonts w:ascii="Times New Roman" w:hAnsi="Times New Roman" w:cs="Times New Roman"/>
          <w:color w:val="202124"/>
          <w:sz w:val="22"/>
          <w:szCs w:val="22"/>
          <w:lang w:val="ru-RU"/>
        </w:rPr>
        <w:t>. –</w:t>
      </w:r>
      <w:r w:rsidRPr="00E13A31">
        <w:rPr>
          <w:rFonts w:ascii="Times New Roman" w:hAnsi="Times New Roman" w:cs="Times New Roman"/>
          <w:color w:val="202124"/>
          <w:sz w:val="22"/>
          <w:szCs w:val="22"/>
          <w:lang w:val="ru-RU"/>
        </w:rPr>
        <w:t xml:space="preserve"> 118 </w:t>
      </w:r>
      <w:r w:rsidRPr="00AF0AD0">
        <w:rPr>
          <w:rFonts w:ascii="Times New Roman" w:hAnsi="Times New Roman" w:cs="Times New Roman"/>
          <w:color w:val="202124"/>
          <w:sz w:val="22"/>
          <w:szCs w:val="22"/>
          <w:lang w:val="en"/>
        </w:rPr>
        <w:t>p</w:t>
      </w:r>
      <w:r w:rsidRPr="00E13A31">
        <w:rPr>
          <w:rFonts w:ascii="Times New Roman" w:hAnsi="Times New Roman" w:cs="Times New Roman"/>
          <w:color w:val="202124"/>
          <w:sz w:val="22"/>
          <w:szCs w:val="22"/>
          <w:lang w:val="ru-RU"/>
        </w:rPr>
        <w:t>.</w:t>
      </w:r>
    </w:p>
    <w:p w14:paraId="135B86FE" w14:textId="77777777" w:rsidR="00E13A31" w:rsidRDefault="00E13A31" w:rsidP="00AF0AD0">
      <w:pPr>
        <w:pStyle w:val="HTML"/>
        <w:ind w:firstLine="567"/>
        <w:jc w:val="both"/>
        <w:rPr>
          <w:rFonts w:ascii="Times New Roman" w:hAnsi="Times New Roman" w:cs="Times New Roman"/>
          <w:color w:val="202124"/>
          <w:sz w:val="22"/>
          <w:szCs w:val="22"/>
        </w:rPr>
      </w:pPr>
    </w:p>
    <w:p w14:paraId="20260163" w14:textId="395684EE" w:rsidR="00AF0AD0" w:rsidRPr="00E13A31" w:rsidRDefault="00E13A31" w:rsidP="00AF0AD0">
      <w:pPr>
        <w:pStyle w:val="HTML"/>
        <w:ind w:firstLine="567"/>
        <w:jc w:val="both"/>
        <w:rPr>
          <w:rFonts w:ascii="Times New Roman" w:hAnsi="Times New Roman" w:cs="Times New Roman"/>
          <w:i/>
          <w:iCs/>
          <w:color w:val="202124"/>
          <w:sz w:val="22"/>
          <w:szCs w:val="22"/>
        </w:rPr>
      </w:pPr>
      <w:r w:rsidRPr="00E13A31">
        <w:rPr>
          <w:rFonts w:ascii="Times New Roman" w:hAnsi="Times New Roman" w:cs="Times New Roman"/>
          <w:i/>
          <w:iCs/>
          <w:color w:val="202124"/>
          <w:sz w:val="22"/>
          <w:szCs w:val="22"/>
        </w:rPr>
        <w:t>В статье анализируется инновационная активность предприятий Республики Беларусь. Исследуются необходимые шаги для ускорения инноваций и раскрывается влияние инноваций на снижение производственных затрат.</w:t>
      </w:r>
    </w:p>
    <w:p w14:paraId="47368350" w14:textId="77777777" w:rsidR="00E13A31" w:rsidRPr="00E13A31" w:rsidRDefault="00E13A31" w:rsidP="00AF0AD0">
      <w:pPr>
        <w:pStyle w:val="HTML"/>
        <w:ind w:firstLine="567"/>
        <w:jc w:val="both"/>
        <w:rPr>
          <w:rFonts w:ascii="Times New Roman" w:hAnsi="Times New Roman" w:cs="Times New Roman"/>
          <w:color w:val="202124"/>
          <w:sz w:val="22"/>
          <w:szCs w:val="22"/>
          <w:lang w:val="ru-RU"/>
        </w:rPr>
      </w:pPr>
    </w:p>
    <w:p w14:paraId="505507B5" w14:textId="05F19677" w:rsidR="00F735E3" w:rsidRPr="00AF0AD0" w:rsidRDefault="00F735E3" w:rsidP="00AF0AD0">
      <w:pPr>
        <w:pStyle w:val="HTML"/>
        <w:ind w:firstLine="567"/>
        <w:jc w:val="both"/>
        <w:rPr>
          <w:rFonts w:ascii="Times New Roman" w:hAnsi="Times New Roman" w:cs="Times New Roman"/>
          <w:color w:val="202124"/>
          <w:sz w:val="22"/>
          <w:szCs w:val="22"/>
          <w:lang w:val="en"/>
        </w:rPr>
      </w:pPr>
      <w:proofErr w:type="spellStart"/>
      <w:r w:rsidRPr="00AF0AD0">
        <w:rPr>
          <w:rFonts w:ascii="Times New Roman" w:hAnsi="Times New Roman" w:cs="Times New Roman"/>
          <w:b/>
          <w:bCs/>
          <w:i/>
          <w:iCs/>
          <w:color w:val="202124"/>
          <w:sz w:val="22"/>
          <w:szCs w:val="22"/>
          <w:lang w:val="en"/>
        </w:rPr>
        <w:t>Gaidanovich</w:t>
      </w:r>
      <w:proofErr w:type="spellEnd"/>
      <w:r w:rsidRPr="00AF0AD0">
        <w:rPr>
          <w:rFonts w:ascii="Times New Roman" w:hAnsi="Times New Roman" w:cs="Times New Roman"/>
          <w:b/>
          <w:bCs/>
          <w:i/>
          <w:iCs/>
          <w:color w:val="202124"/>
          <w:sz w:val="22"/>
          <w:szCs w:val="22"/>
          <w:lang w:val="en"/>
        </w:rPr>
        <w:t xml:space="preserve"> Evgeniy </w:t>
      </w:r>
      <w:proofErr w:type="spellStart"/>
      <w:r w:rsidRPr="00AF0AD0">
        <w:rPr>
          <w:rFonts w:ascii="Times New Roman" w:hAnsi="Times New Roman" w:cs="Times New Roman"/>
          <w:b/>
          <w:bCs/>
          <w:i/>
          <w:iCs/>
          <w:color w:val="202124"/>
          <w:sz w:val="22"/>
          <w:szCs w:val="22"/>
          <w:lang w:val="en"/>
        </w:rPr>
        <w:t>Olegovich</w:t>
      </w:r>
      <w:proofErr w:type="spellEnd"/>
      <w:r w:rsidRPr="00AF0AD0">
        <w:rPr>
          <w:rFonts w:ascii="Times New Roman" w:hAnsi="Times New Roman" w:cs="Times New Roman"/>
          <w:color w:val="202124"/>
          <w:sz w:val="22"/>
          <w:szCs w:val="22"/>
          <w:lang w:val="en"/>
        </w:rPr>
        <w:t xml:space="preserve">, 3rd year student of the specialty "Economics and Management and Enterprise" of the Faculty of Economics and Management, </w:t>
      </w:r>
      <w:proofErr w:type="spellStart"/>
      <w:r w:rsidRPr="00AF0AD0">
        <w:rPr>
          <w:rFonts w:ascii="Times New Roman" w:hAnsi="Times New Roman" w:cs="Times New Roman"/>
          <w:color w:val="202124"/>
          <w:sz w:val="22"/>
          <w:szCs w:val="22"/>
          <w:lang w:val="en"/>
        </w:rPr>
        <w:t>Yanka</w:t>
      </w:r>
      <w:proofErr w:type="spellEnd"/>
      <w:r w:rsidRPr="00AF0AD0">
        <w:rPr>
          <w:rFonts w:ascii="Times New Roman" w:hAnsi="Times New Roman" w:cs="Times New Roman"/>
          <w:color w:val="202124"/>
          <w:sz w:val="22"/>
          <w:szCs w:val="22"/>
          <w:lang w:val="en"/>
        </w:rPr>
        <w:t xml:space="preserve"> </w:t>
      </w:r>
      <w:proofErr w:type="spellStart"/>
      <w:r w:rsidRPr="00AF0AD0">
        <w:rPr>
          <w:rFonts w:ascii="Times New Roman" w:hAnsi="Times New Roman" w:cs="Times New Roman"/>
          <w:color w:val="202124"/>
          <w:sz w:val="22"/>
          <w:szCs w:val="22"/>
          <w:lang w:val="en"/>
        </w:rPr>
        <w:t>Kupala</w:t>
      </w:r>
      <w:proofErr w:type="spellEnd"/>
      <w:r w:rsidRPr="00AF0AD0">
        <w:rPr>
          <w:rFonts w:ascii="Times New Roman" w:hAnsi="Times New Roman" w:cs="Times New Roman"/>
          <w:color w:val="202124"/>
          <w:sz w:val="22"/>
          <w:szCs w:val="22"/>
          <w:lang w:val="en"/>
        </w:rPr>
        <w:t xml:space="preserve"> State University of Grodno, Grodno, Belarus. E-mail: jabelorus@mail.ru.</w:t>
      </w:r>
    </w:p>
    <w:p w14:paraId="69157F6C" w14:textId="77777777" w:rsidR="00F735E3" w:rsidRPr="00AF0AD0" w:rsidRDefault="00F735E3" w:rsidP="00AF0AD0">
      <w:pPr>
        <w:pStyle w:val="HTML"/>
        <w:ind w:firstLine="567"/>
        <w:jc w:val="both"/>
        <w:rPr>
          <w:rFonts w:ascii="Times New Roman" w:hAnsi="Times New Roman" w:cs="Times New Roman"/>
          <w:color w:val="202124"/>
          <w:sz w:val="22"/>
          <w:szCs w:val="22"/>
        </w:rPr>
      </w:pPr>
      <w:r w:rsidRPr="00AF0AD0">
        <w:rPr>
          <w:rFonts w:ascii="Times New Roman" w:hAnsi="Times New Roman" w:cs="Times New Roman"/>
          <w:color w:val="202124"/>
          <w:sz w:val="22"/>
          <w:szCs w:val="22"/>
          <w:lang w:val="en"/>
        </w:rPr>
        <w:t xml:space="preserve">Scientific adviser - </w:t>
      </w:r>
      <w:proofErr w:type="spellStart"/>
      <w:r w:rsidRPr="00AF0AD0">
        <w:rPr>
          <w:rFonts w:ascii="Times New Roman" w:hAnsi="Times New Roman" w:cs="Times New Roman"/>
          <w:b/>
          <w:bCs/>
          <w:i/>
          <w:iCs/>
          <w:color w:val="202124"/>
          <w:sz w:val="22"/>
          <w:szCs w:val="22"/>
          <w:lang w:val="en"/>
        </w:rPr>
        <w:t>Sachek</w:t>
      </w:r>
      <w:proofErr w:type="spellEnd"/>
      <w:r w:rsidRPr="00AF0AD0">
        <w:rPr>
          <w:rFonts w:ascii="Times New Roman" w:hAnsi="Times New Roman" w:cs="Times New Roman"/>
          <w:b/>
          <w:bCs/>
          <w:i/>
          <w:iCs/>
          <w:color w:val="202124"/>
          <w:sz w:val="22"/>
          <w:szCs w:val="22"/>
          <w:lang w:val="en"/>
        </w:rPr>
        <w:t xml:space="preserve"> Alexander </w:t>
      </w:r>
      <w:proofErr w:type="spellStart"/>
      <w:r w:rsidRPr="00AF0AD0">
        <w:rPr>
          <w:rFonts w:ascii="Times New Roman" w:hAnsi="Times New Roman" w:cs="Times New Roman"/>
          <w:b/>
          <w:bCs/>
          <w:i/>
          <w:iCs/>
          <w:color w:val="202124"/>
          <w:sz w:val="22"/>
          <w:szCs w:val="22"/>
          <w:lang w:val="en"/>
        </w:rPr>
        <w:t>Nikolaevich</w:t>
      </w:r>
      <w:proofErr w:type="spellEnd"/>
      <w:r w:rsidRPr="00AF0AD0">
        <w:rPr>
          <w:rFonts w:ascii="Times New Roman" w:hAnsi="Times New Roman" w:cs="Times New Roman"/>
          <w:color w:val="202124"/>
          <w:sz w:val="22"/>
          <w:szCs w:val="22"/>
          <w:lang w:val="en"/>
        </w:rPr>
        <w:t xml:space="preserve">, senior lecturer of the Department of Economics and Management at the enterprise of the Faculty of Economics and Management, </w:t>
      </w:r>
      <w:proofErr w:type="spellStart"/>
      <w:r w:rsidRPr="00AF0AD0">
        <w:rPr>
          <w:rFonts w:ascii="Times New Roman" w:hAnsi="Times New Roman" w:cs="Times New Roman"/>
          <w:color w:val="202124"/>
          <w:sz w:val="22"/>
          <w:szCs w:val="22"/>
          <w:lang w:val="en"/>
        </w:rPr>
        <w:t>Yanka</w:t>
      </w:r>
      <w:proofErr w:type="spellEnd"/>
      <w:r w:rsidRPr="00AF0AD0">
        <w:rPr>
          <w:rFonts w:ascii="Times New Roman" w:hAnsi="Times New Roman" w:cs="Times New Roman"/>
          <w:color w:val="202124"/>
          <w:sz w:val="22"/>
          <w:szCs w:val="22"/>
          <w:lang w:val="en"/>
        </w:rPr>
        <w:t xml:space="preserve"> </w:t>
      </w:r>
      <w:proofErr w:type="spellStart"/>
      <w:r w:rsidRPr="00AF0AD0">
        <w:rPr>
          <w:rFonts w:ascii="Times New Roman" w:hAnsi="Times New Roman" w:cs="Times New Roman"/>
          <w:color w:val="202124"/>
          <w:sz w:val="22"/>
          <w:szCs w:val="22"/>
          <w:lang w:val="en"/>
        </w:rPr>
        <w:t>Kupala</w:t>
      </w:r>
      <w:proofErr w:type="spellEnd"/>
      <w:r w:rsidRPr="00AF0AD0">
        <w:rPr>
          <w:rFonts w:ascii="Times New Roman" w:hAnsi="Times New Roman" w:cs="Times New Roman"/>
          <w:color w:val="202124"/>
          <w:sz w:val="22"/>
          <w:szCs w:val="22"/>
          <w:lang w:val="en"/>
        </w:rPr>
        <w:t xml:space="preserve"> State University of Grodno, Grodno, Belarus.</w:t>
      </w:r>
    </w:p>
    <w:p w14:paraId="2EEB93BA" w14:textId="77777777" w:rsidR="00F735E3" w:rsidRPr="00AF0AD0" w:rsidRDefault="00F735E3" w:rsidP="00AF0AD0">
      <w:pPr>
        <w:spacing w:after="0" w:line="240" w:lineRule="auto"/>
        <w:ind w:firstLine="567"/>
        <w:jc w:val="both"/>
        <w:rPr>
          <w:rFonts w:ascii="Times New Roman" w:hAnsi="Times New Roman" w:cs="Times New Roman"/>
        </w:rPr>
      </w:pPr>
    </w:p>
    <w:sectPr w:rsidR="00F735E3" w:rsidRPr="00AF0AD0" w:rsidSect="00F735E3">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E3"/>
    <w:rsid w:val="00AF0AD0"/>
    <w:rsid w:val="00E13A31"/>
    <w:rsid w:val="00E27266"/>
    <w:rsid w:val="00F735E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DE16"/>
  <w15:chartTrackingRefBased/>
  <w15:docId w15:val="{82E87463-D36D-4D1A-9686-07B2832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BY"/>
    </w:rPr>
  </w:style>
  <w:style w:type="character" w:customStyle="1" w:styleId="HTML0">
    <w:name w:val="Стандартный HTML Знак"/>
    <w:basedOn w:val="a0"/>
    <w:link w:val="HTML"/>
    <w:uiPriority w:val="99"/>
    <w:semiHidden/>
    <w:rsid w:val="00F735E3"/>
    <w:rPr>
      <w:rFonts w:ascii="Courier New" w:eastAsia="Times New Roman" w:hAnsi="Courier New" w:cs="Courier New"/>
      <w:sz w:val="20"/>
      <w:szCs w:val="20"/>
      <w:lang w:eastAsia="ru-BY"/>
    </w:rPr>
  </w:style>
  <w:style w:type="table" w:styleId="a3">
    <w:name w:val="Table Grid"/>
    <w:basedOn w:val="a1"/>
    <w:uiPriority w:val="39"/>
    <w:rsid w:val="00F735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70154">
      <w:bodyDiv w:val="1"/>
      <w:marLeft w:val="0"/>
      <w:marRight w:val="0"/>
      <w:marTop w:val="0"/>
      <w:marBottom w:val="0"/>
      <w:divBdr>
        <w:top w:val="none" w:sz="0" w:space="0" w:color="auto"/>
        <w:left w:val="none" w:sz="0" w:space="0" w:color="auto"/>
        <w:bottom w:val="none" w:sz="0" w:space="0" w:color="auto"/>
        <w:right w:val="none" w:sz="0" w:space="0" w:color="auto"/>
      </w:divBdr>
    </w:div>
    <w:div w:id="191699051">
      <w:bodyDiv w:val="1"/>
      <w:marLeft w:val="0"/>
      <w:marRight w:val="0"/>
      <w:marTop w:val="0"/>
      <w:marBottom w:val="0"/>
      <w:divBdr>
        <w:top w:val="none" w:sz="0" w:space="0" w:color="auto"/>
        <w:left w:val="none" w:sz="0" w:space="0" w:color="auto"/>
        <w:bottom w:val="none" w:sz="0" w:space="0" w:color="auto"/>
        <w:right w:val="none" w:sz="0" w:space="0" w:color="auto"/>
      </w:divBdr>
    </w:div>
    <w:div w:id="264969915">
      <w:bodyDiv w:val="1"/>
      <w:marLeft w:val="0"/>
      <w:marRight w:val="0"/>
      <w:marTop w:val="0"/>
      <w:marBottom w:val="0"/>
      <w:divBdr>
        <w:top w:val="none" w:sz="0" w:space="0" w:color="auto"/>
        <w:left w:val="none" w:sz="0" w:space="0" w:color="auto"/>
        <w:bottom w:val="none" w:sz="0" w:space="0" w:color="auto"/>
        <w:right w:val="none" w:sz="0" w:space="0" w:color="auto"/>
      </w:divBdr>
    </w:div>
    <w:div w:id="322468855">
      <w:bodyDiv w:val="1"/>
      <w:marLeft w:val="0"/>
      <w:marRight w:val="0"/>
      <w:marTop w:val="0"/>
      <w:marBottom w:val="0"/>
      <w:divBdr>
        <w:top w:val="none" w:sz="0" w:space="0" w:color="auto"/>
        <w:left w:val="none" w:sz="0" w:space="0" w:color="auto"/>
        <w:bottom w:val="none" w:sz="0" w:space="0" w:color="auto"/>
        <w:right w:val="none" w:sz="0" w:space="0" w:color="auto"/>
      </w:divBdr>
    </w:div>
    <w:div w:id="381946593">
      <w:bodyDiv w:val="1"/>
      <w:marLeft w:val="0"/>
      <w:marRight w:val="0"/>
      <w:marTop w:val="0"/>
      <w:marBottom w:val="0"/>
      <w:divBdr>
        <w:top w:val="none" w:sz="0" w:space="0" w:color="auto"/>
        <w:left w:val="none" w:sz="0" w:space="0" w:color="auto"/>
        <w:bottom w:val="none" w:sz="0" w:space="0" w:color="auto"/>
        <w:right w:val="none" w:sz="0" w:space="0" w:color="auto"/>
      </w:divBdr>
    </w:div>
    <w:div w:id="421151496">
      <w:bodyDiv w:val="1"/>
      <w:marLeft w:val="0"/>
      <w:marRight w:val="0"/>
      <w:marTop w:val="0"/>
      <w:marBottom w:val="0"/>
      <w:divBdr>
        <w:top w:val="none" w:sz="0" w:space="0" w:color="auto"/>
        <w:left w:val="none" w:sz="0" w:space="0" w:color="auto"/>
        <w:bottom w:val="none" w:sz="0" w:space="0" w:color="auto"/>
        <w:right w:val="none" w:sz="0" w:space="0" w:color="auto"/>
      </w:divBdr>
    </w:div>
    <w:div w:id="683440420">
      <w:bodyDiv w:val="1"/>
      <w:marLeft w:val="0"/>
      <w:marRight w:val="0"/>
      <w:marTop w:val="0"/>
      <w:marBottom w:val="0"/>
      <w:divBdr>
        <w:top w:val="none" w:sz="0" w:space="0" w:color="auto"/>
        <w:left w:val="none" w:sz="0" w:space="0" w:color="auto"/>
        <w:bottom w:val="none" w:sz="0" w:space="0" w:color="auto"/>
        <w:right w:val="none" w:sz="0" w:space="0" w:color="auto"/>
      </w:divBdr>
    </w:div>
    <w:div w:id="794327968">
      <w:bodyDiv w:val="1"/>
      <w:marLeft w:val="0"/>
      <w:marRight w:val="0"/>
      <w:marTop w:val="0"/>
      <w:marBottom w:val="0"/>
      <w:divBdr>
        <w:top w:val="none" w:sz="0" w:space="0" w:color="auto"/>
        <w:left w:val="none" w:sz="0" w:space="0" w:color="auto"/>
        <w:bottom w:val="none" w:sz="0" w:space="0" w:color="auto"/>
        <w:right w:val="none" w:sz="0" w:space="0" w:color="auto"/>
      </w:divBdr>
    </w:div>
    <w:div w:id="801658516">
      <w:bodyDiv w:val="1"/>
      <w:marLeft w:val="0"/>
      <w:marRight w:val="0"/>
      <w:marTop w:val="0"/>
      <w:marBottom w:val="0"/>
      <w:divBdr>
        <w:top w:val="none" w:sz="0" w:space="0" w:color="auto"/>
        <w:left w:val="none" w:sz="0" w:space="0" w:color="auto"/>
        <w:bottom w:val="none" w:sz="0" w:space="0" w:color="auto"/>
        <w:right w:val="none" w:sz="0" w:space="0" w:color="auto"/>
      </w:divBdr>
    </w:div>
    <w:div w:id="1420131418">
      <w:bodyDiv w:val="1"/>
      <w:marLeft w:val="0"/>
      <w:marRight w:val="0"/>
      <w:marTop w:val="0"/>
      <w:marBottom w:val="0"/>
      <w:divBdr>
        <w:top w:val="none" w:sz="0" w:space="0" w:color="auto"/>
        <w:left w:val="none" w:sz="0" w:space="0" w:color="auto"/>
        <w:bottom w:val="none" w:sz="0" w:space="0" w:color="auto"/>
        <w:right w:val="none" w:sz="0" w:space="0" w:color="auto"/>
      </w:divBdr>
    </w:div>
    <w:div w:id="1428648464">
      <w:bodyDiv w:val="1"/>
      <w:marLeft w:val="0"/>
      <w:marRight w:val="0"/>
      <w:marTop w:val="0"/>
      <w:marBottom w:val="0"/>
      <w:divBdr>
        <w:top w:val="none" w:sz="0" w:space="0" w:color="auto"/>
        <w:left w:val="none" w:sz="0" w:space="0" w:color="auto"/>
        <w:bottom w:val="none" w:sz="0" w:space="0" w:color="auto"/>
        <w:right w:val="none" w:sz="0" w:space="0" w:color="auto"/>
      </w:divBdr>
    </w:div>
    <w:div w:id="1457605101">
      <w:bodyDiv w:val="1"/>
      <w:marLeft w:val="0"/>
      <w:marRight w:val="0"/>
      <w:marTop w:val="0"/>
      <w:marBottom w:val="0"/>
      <w:divBdr>
        <w:top w:val="none" w:sz="0" w:space="0" w:color="auto"/>
        <w:left w:val="none" w:sz="0" w:space="0" w:color="auto"/>
        <w:bottom w:val="none" w:sz="0" w:space="0" w:color="auto"/>
        <w:right w:val="none" w:sz="0" w:space="0" w:color="auto"/>
      </w:divBdr>
    </w:div>
    <w:div w:id="1476991925">
      <w:bodyDiv w:val="1"/>
      <w:marLeft w:val="0"/>
      <w:marRight w:val="0"/>
      <w:marTop w:val="0"/>
      <w:marBottom w:val="0"/>
      <w:divBdr>
        <w:top w:val="none" w:sz="0" w:space="0" w:color="auto"/>
        <w:left w:val="none" w:sz="0" w:space="0" w:color="auto"/>
        <w:bottom w:val="none" w:sz="0" w:space="0" w:color="auto"/>
        <w:right w:val="none" w:sz="0" w:space="0" w:color="auto"/>
      </w:divBdr>
    </w:div>
    <w:div w:id="19980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Лист1!$B$1</c:f>
              <c:strCache>
                <c:ptCount val="1"/>
                <c:pt idx="0">
                  <c:v>industry</c:v>
                </c:pt>
              </c:strCache>
            </c:strRef>
          </c:tx>
          <c:spPr>
            <a:ln w="19050" cap="rnd" cmpd="sng" algn="ctr">
              <a:solidFill>
                <a:schemeClr val="dk1">
                  <a:tint val="88500"/>
                </a:schemeClr>
              </a:solidFill>
              <a:prstDash val="solid"/>
              <a:round/>
            </a:ln>
            <a:effectLst/>
          </c:spPr>
          <c:marker>
            <c:symbol val="circle"/>
            <c:size val="5"/>
            <c:spPr>
              <a:solidFill>
                <a:schemeClr val="dk1">
                  <a:tint val="88500"/>
                </a:schemeClr>
              </a:solidFill>
              <a:ln w="6350" cap="flat" cmpd="sng" algn="ctr">
                <a:solidFill>
                  <a:schemeClr val="dk1">
                    <a:tint val="885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Лист1!$B$2:$B$7</c:f>
              <c:numCache>
                <c:formatCode>General</c:formatCode>
                <c:ptCount val="6"/>
                <c:pt idx="0">
                  <c:v>318</c:v>
                </c:pt>
                <c:pt idx="1">
                  <c:v>371</c:v>
                </c:pt>
                <c:pt idx="2">
                  <c:v>234</c:v>
                </c:pt>
                <c:pt idx="3">
                  <c:v>324</c:v>
                </c:pt>
                <c:pt idx="4">
                  <c:v>443</c:v>
                </c:pt>
                <c:pt idx="5">
                  <c:v>437</c:v>
                </c:pt>
              </c:numCache>
            </c:numRef>
          </c:yVal>
          <c:smooth val="0"/>
          <c:extLst>
            <c:ext xmlns:c16="http://schemas.microsoft.com/office/drawing/2014/chart" uri="{C3380CC4-5D6E-409C-BE32-E72D297353CC}">
              <c16:uniqueId val="{00000000-5362-44D2-8867-49E89C961599}"/>
            </c:ext>
          </c:extLst>
        </c:ser>
        <c:ser>
          <c:idx val="1"/>
          <c:order val="1"/>
          <c:tx>
            <c:strRef>
              <c:f>Лист1!$C$1</c:f>
              <c:strCache>
                <c:ptCount val="1"/>
                <c:pt idx="0">
                  <c:v>services sector</c:v>
                </c:pt>
              </c:strCache>
            </c:strRef>
          </c:tx>
          <c:spPr>
            <a:ln w="19050" cap="rnd" cmpd="sng" algn="ctr">
              <a:solidFill>
                <a:schemeClr val="dk1">
                  <a:tint val="55000"/>
                </a:schemeClr>
              </a:solidFill>
              <a:prstDash val="solid"/>
              <a:round/>
            </a:ln>
            <a:effectLst/>
          </c:spPr>
          <c:marker>
            <c:symbol val="circle"/>
            <c:size val="5"/>
            <c:spPr>
              <a:solidFill>
                <a:schemeClr val="dk1">
                  <a:tint val="55000"/>
                </a:schemeClr>
              </a:solidFill>
              <a:ln w="6350" cap="flat" cmpd="sng" algn="ctr">
                <a:solidFill>
                  <a:schemeClr val="dk1">
                    <a:tint val="550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Лист1!$C$2:$C$7</c:f>
              <c:numCache>
                <c:formatCode>General</c:formatCode>
                <c:ptCount val="6"/>
                <c:pt idx="0">
                  <c:v>0</c:v>
                </c:pt>
                <c:pt idx="1">
                  <c:v>25</c:v>
                </c:pt>
                <c:pt idx="2">
                  <c:v>16</c:v>
                </c:pt>
                <c:pt idx="3">
                  <c:v>25</c:v>
                </c:pt>
                <c:pt idx="4">
                  <c:v>24</c:v>
                </c:pt>
                <c:pt idx="5">
                  <c:v>45</c:v>
                </c:pt>
              </c:numCache>
            </c:numRef>
          </c:yVal>
          <c:smooth val="0"/>
          <c:extLst>
            <c:ext xmlns:c16="http://schemas.microsoft.com/office/drawing/2014/chart" uri="{C3380CC4-5D6E-409C-BE32-E72D297353CC}">
              <c16:uniqueId val="{00000001-5362-44D2-8867-49E89C961599}"/>
            </c:ext>
          </c:extLst>
        </c:ser>
        <c:dLbls>
          <c:showLegendKey val="0"/>
          <c:showVal val="0"/>
          <c:showCatName val="0"/>
          <c:showSerName val="0"/>
          <c:showPercent val="0"/>
          <c:showBubbleSize val="0"/>
        </c:dLbls>
        <c:axId val="110917120"/>
        <c:axId val="111080960"/>
      </c:scatterChart>
      <c:valAx>
        <c:axId val="110917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crossAx val="111080960"/>
        <c:crosses val="autoZero"/>
        <c:crossBetween val="midCat"/>
      </c:valAx>
      <c:valAx>
        <c:axId val="111080960"/>
        <c:scaling>
          <c:orientation val="minMax"/>
          <c:max val="4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in"/>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crossAx val="110917120"/>
        <c:crossesAt val="2004"/>
        <c:crossBetween val="midCat"/>
        <c:majorUnit val="6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BY"/>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BY"/>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Industry</a:t>
            </a:r>
            <a:endParaRPr lang="ru-RU"/>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52787612957776"/>
          <c:y val="0.25736321421360792"/>
          <c:w val="0.4409935102219581"/>
          <c:h val="0.55063934315902829"/>
        </c:manualLayout>
      </c:layout>
      <c:pie3DChart>
        <c:varyColors val="1"/>
        <c:ser>
          <c:idx val="0"/>
          <c:order val="0"/>
          <c:dPt>
            <c:idx val="0"/>
            <c:bubble3D val="0"/>
            <c:explosion val="19"/>
            <c:spPr>
              <a:solidFill>
                <a:schemeClr val="accent3">
                  <a:shade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594-4C9E-BB2A-F41E46F55F6C}"/>
              </c:ext>
            </c:extLst>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594-4C9E-BB2A-F41E46F55F6C}"/>
              </c:ext>
            </c:extLst>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594-4C9E-BB2A-F41E46F55F6C}"/>
              </c:ext>
            </c:extLst>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594-4C9E-BB2A-F41E46F55F6C}"/>
              </c:ext>
            </c:extLst>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594-4C9E-BB2A-F41E46F55F6C}"/>
              </c:ext>
            </c:extLst>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594-4C9E-BB2A-F41E46F55F6C}"/>
              </c:ext>
            </c:extLst>
          </c:dPt>
          <c:dLbls>
            <c:spPr>
              <a:noFill/>
              <a:ln>
                <a:noFill/>
              </a:ln>
              <a:effectLst/>
            </c:sp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Лист1!$B$3:$B$8</c:f>
              <c:strCache>
                <c:ptCount val="6"/>
                <c:pt idx="0">
                  <c:v>собственные</c:v>
                </c:pt>
                <c:pt idx="1">
                  <c:v>республиканский бюджет</c:v>
                </c:pt>
                <c:pt idx="2">
                  <c:v>местный бюджет</c:v>
                </c:pt>
                <c:pt idx="3">
                  <c:v>кредиты и займы</c:v>
                </c:pt>
                <c:pt idx="4">
                  <c:v>иностранные инвестиции</c:v>
                </c:pt>
                <c:pt idx="5">
                  <c:v>прочие</c:v>
                </c:pt>
              </c:strCache>
            </c:strRef>
          </c:cat>
          <c:val>
            <c:numRef>
              <c:f>Лист1!$C$3:$C$8</c:f>
              <c:numCache>
                <c:formatCode>General</c:formatCode>
                <c:ptCount val="6"/>
                <c:pt idx="0">
                  <c:v>48</c:v>
                </c:pt>
                <c:pt idx="1">
                  <c:v>6.5</c:v>
                </c:pt>
                <c:pt idx="2">
                  <c:v>0.1</c:v>
                </c:pt>
                <c:pt idx="3">
                  <c:v>29</c:v>
                </c:pt>
                <c:pt idx="4">
                  <c:v>15.6</c:v>
                </c:pt>
                <c:pt idx="5">
                  <c:v>0.8</c:v>
                </c:pt>
              </c:numCache>
            </c:numRef>
          </c:val>
          <c:extLst>
            <c:ext xmlns:c16="http://schemas.microsoft.com/office/drawing/2014/chart" uri="{C3380CC4-5D6E-409C-BE32-E72D297353CC}">
              <c16:uniqueId val="{0000000C-3594-4C9E-BB2A-F41E46F55F6C}"/>
            </c:ext>
          </c:extLst>
        </c:ser>
        <c:dLbls>
          <c:dLblPos val="bestFit"/>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BY"/>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Семенчук</dc:creator>
  <cp:keywords/>
  <dc:description/>
  <cp:lastModifiedBy>Антонина Семенчук</cp:lastModifiedBy>
  <cp:revision>1</cp:revision>
  <dcterms:created xsi:type="dcterms:W3CDTF">2021-03-21T12:04:00Z</dcterms:created>
  <dcterms:modified xsi:type="dcterms:W3CDTF">2021-03-21T12:38:00Z</dcterms:modified>
</cp:coreProperties>
</file>