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51" w:rsidRDefault="00970151" w:rsidP="00970151">
      <w:pPr>
        <w:jc w:val="center"/>
        <w:rPr>
          <w:sz w:val="28"/>
        </w:rPr>
      </w:pPr>
      <w:r w:rsidRPr="00970151">
        <w:rPr>
          <w:sz w:val="28"/>
        </w:rPr>
        <w:t>Документы, представляемые в пр</w:t>
      </w:r>
      <w:r>
        <w:rPr>
          <w:sz w:val="28"/>
        </w:rPr>
        <w:t xml:space="preserve">иемную комиссию </w:t>
      </w:r>
    </w:p>
    <w:p w:rsidR="00970151" w:rsidRPr="00970151" w:rsidRDefault="00970151" w:rsidP="00970151">
      <w:pPr>
        <w:jc w:val="center"/>
        <w:rPr>
          <w:rFonts w:ascii="Arial" w:hAnsi="Arial"/>
          <w:sz w:val="28"/>
          <w:szCs w:val="21"/>
        </w:rPr>
      </w:pPr>
      <w:r>
        <w:rPr>
          <w:sz w:val="28"/>
        </w:rPr>
        <w:t xml:space="preserve">ГрГУ имени Янки </w:t>
      </w:r>
      <w:r w:rsidRPr="00970151">
        <w:rPr>
          <w:sz w:val="28"/>
        </w:rPr>
        <w:t>Купалы,</w:t>
      </w:r>
      <w:r>
        <w:rPr>
          <w:sz w:val="28"/>
        </w:rPr>
        <w:t xml:space="preserve"> </w:t>
      </w:r>
      <w:r w:rsidRPr="00970151">
        <w:rPr>
          <w:sz w:val="28"/>
        </w:rPr>
        <w:t>для участия в конкурсе на получение высшего образования II ступени</w:t>
      </w:r>
      <w:r>
        <w:rPr>
          <w:sz w:val="28"/>
        </w:rPr>
        <w:t xml:space="preserve"> </w:t>
      </w:r>
      <w:r w:rsidRPr="00970151">
        <w:rPr>
          <w:sz w:val="28"/>
        </w:rPr>
        <w:t>в 2018 году:</w:t>
      </w:r>
    </w:p>
    <w:p w:rsidR="00970151" w:rsidRPr="00970151" w:rsidRDefault="00970151" w:rsidP="00970151">
      <w:pPr>
        <w:jc w:val="center"/>
        <w:rPr>
          <w:rFonts w:ascii="Arial" w:hAnsi="Arial"/>
          <w:color w:val="242A2F"/>
          <w:sz w:val="28"/>
        </w:rPr>
      </w:pPr>
    </w:p>
    <w:p w:rsidR="00970151" w:rsidRPr="00970151" w:rsidRDefault="00970151" w:rsidP="0097015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   </w:t>
      </w:r>
    </w:p>
    <w:p w:rsidR="00970151" w:rsidRPr="00970151" w:rsidRDefault="00970151" w:rsidP="0097015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color w:val="3366FF"/>
          <w:sz w:val="21"/>
          <w:szCs w:val="21"/>
        </w:rPr>
        <w:t>I.</w:t>
      </w:r>
      <w:r w:rsidRPr="00970151">
        <w:rPr>
          <w:rFonts w:ascii="Arial" w:hAnsi="Arial" w:cs="Arial"/>
          <w:color w:val="333333"/>
          <w:sz w:val="21"/>
          <w:szCs w:val="21"/>
        </w:rPr>
        <w:t> Граждане Республики Беларусь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, поступающие для получения высшего образования II ступени, подают следующие документы: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заявление на имя ректора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(оформляется в электронном виде в приемной комиссии)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оригинал диплома о высшем образовании и приложения к нему, выданные в Республике Беларусь;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граждан, имеющих дипломы учреждений высшего образования иностранных государств)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граждан, имеющих дипломы учреждений высшего образования иностранных государств)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выписку из протокола заседания Совета факультета учреждения высшего образования, содержащего рекомендацию для обучения на II ступени высшего образования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 xml:space="preserve">(для </w:t>
      </w:r>
      <w:proofErr w:type="gramStart"/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поступающих</w:t>
      </w:r>
      <w:proofErr w:type="gramEnd"/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 xml:space="preserve"> на специальности, формирующие знания, умения и навыки научно-педагогической и научно-исследовательской работы (научно-ориентированная магистратура) и завершивших обучение на I ступени высшего образования в 2018 году)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hyperlink r:id="rId6" w:history="1">
        <w:proofErr w:type="gramStart"/>
        <w:r w:rsidRPr="00970151">
          <w:rPr>
            <w:rFonts w:ascii="Arial" w:hAnsi="Arial" w:cs="Arial"/>
            <w:b w:val="0"/>
            <w:bCs w:val="0"/>
            <w:color w:val="0000FF"/>
            <w:sz w:val="21"/>
            <w:szCs w:val="21"/>
          </w:rPr>
          <w:t>рекомендацию</w:t>
        </w:r>
      </w:hyperlink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 для получения высшего образования II ступени, которая выдается организацией, заинтересованной в специалистах с углубленной подготовкой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поступающих на обучение </w:t>
      </w:r>
      <w:r w:rsidRPr="00970151">
        <w:rPr>
          <w:rFonts w:ascii="Arial" w:hAnsi="Arial" w:cs="Arial"/>
          <w:i/>
          <w:iCs/>
          <w:color w:val="333399"/>
          <w:sz w:val="21"/>
          <w:szCs w:val="21"/>
        </w:rPr>
        <w:t>за счет средств бюджета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 по следующим специальностям:</w:t>
      </w:r>
      <w:r w:rsidRPr="00970151">
        <w:rPr>
          <w:rFonts w:ascii="Arial" w:hAnsi="Arial" w:cs="Arial"/>
          <w:b w:val="0"/>
          <w:bCs w:val="0"/>
          <w:i/>
          <w:iCs/>
          <w:color w:val="666699"/>
          <w:sz w:val="21"/>
          <w:szCs w:val="21"/>
        </w:rPr>
        <w:br/>
      </w:r>
      <w:proofErr w:type="gramEnd"/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Образовательный менеджмент;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Культурное наследие и туризм;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 xml:space="preserve">Психологическое консультирование и </w:t>
      </w:r>
      <w:proofErr w:type="spellStart"/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психокоррекция</w:t>
      </w:r>
      <w:proofErr w:type="spellEnd"/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Социальная психология;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Правовое обеспечение хозяйственной деятельности;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Прокурорско-следственная деятельность;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Правовое обеспечение альтернативных способов урегулирования конфликтов и споров;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Экономика и управление на предприятии;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Прикладной компьютерный анализ данных;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Управление логистическими системами;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Методы анализа и управления в технических и экономических системах;</w:t>
      </w:r>
    </w:p>
    <w:p w:rsidR="00970151" w:rsidRPr="00970151" w:rsidRDefault="00970151" w:rsidP="0097015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proofErr w:type="gramStart"/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Современные методы и аппаратура физических измерений)</w:t>
      </w:r>
      <w:r w:rsidRPr="00970151">
        <w:rPr>
          <w:rFonts w:ascii="Arial" w:hAnsi="Arial" w:cs="Arial"/>
          <w:b w:val="0"/>
          <w:bCs w:val="0"/>
          <w:color w:val="333399"/>
          <w:sz w:val="21"/>
          <w:szCs w:val="21"/>
        </w:rPr>
        <w:t>.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  <w:proofErr w:type="gramEnd"/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 xml:space="preserve">выписку  из трудовой книжки или копию трудовой книжки, заверенную в установленном порядке, </w:t>
      </w:r>
      <w:proofErr w:type="gramStart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и(</w:t>
      </w:r>
      <w:proofErr w:type="gramEnd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членство в творческом союзе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лиц, поступающих для получения образования в заочной и вечерней формах)</w:t>
      </w:r>
      <w:r w:rsidRPr="00970151">
        <w:rPr>
          <w:rFonts w:ascii="Arial" w:hAnsi="Arial" w:cs="Arial"/>
          <w:b w:val="0"/>
          <w:bCs w:val="0"/>
          <w:color w:val="000000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lastRenderedPageBreak/>
        <w:t>удостоверение о сдаче кандидатских экзаменов и копию удостоверения, которая заверяется приемной комиссией</w:t>
      </w:r>
      <w:r w:rsidRPr="00970151">
        <w:rPr>
          <w:rFonts w:ascii="Arial" w:hAnsi="Arial" w:cs="Arial"/>
          <w:b w:val="0"/>
          <w:bCs w:val="0"/>
          <w:color w:val="333399"/>
          <w:sz w:val="21"/>
          <w:szCs w:val="21"/>
        </w:rPr>
        <w:t>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(при наличии удостоверения)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4 фотографии размером 3 x 4 см;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медицинскую справку о состоянии здоровья по форме, установленной Министерством здравоохранения Республики Беларусь;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  <w:bookmarkStart w:id="0" w:name="_GoBack"/>
      <w:bookmarkEnd w:id="0"/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hyperlink r:id="rId7" w:history="1">
        <w:r w:rsidRPr="00970151">
          <w:rPr>
            <w:rFonts w:ascii="Arial" w:hAnsi="Arial" w:cs="Arial"/>
            <w:b w:val="0"/>
            <w:bCs w:val="0"/>
            <w:color w:val="0000FF"/>
            <w:sz w:val="21"/>
            <w:szCs w:val="21"/>
          </w:rPr>
          <w:t>список опубликованных научных работ</w:t>
        </w:r>
      </w:hyperlink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, описаний изобретений, отчеты о выполненных исследованиях и разработках, дипломы, подтверждающие победы в республиканских и (или) международных олимпиадах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(при их наличии)</w:t>
      </w:r>
      <w:r w:rsidRPr="00970151">
        <w:rPr>
          <w:rFonts w:ascii="Arial" w:hAnsi="Arial" w:cs="Arial"/>
          <w:b w:val="0"/>
          <w:bCs w:val="0"/>
          <w:color w:val="333399"/>
          <w:sz w:val="21"/>
          <w:szCs w:val="21"/>
        </w:rPr>
        <w:t> 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и копии перечисленных документов, которые заверяются приемной комиссией;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proofErr w:type="gramStart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документ, удостоверяющий личность (паспорт; вид на жительство в Республике Беларусь; удостоверение беженца; справка, выдаваемая в случае утраты (хищения) документа, удостоверяющего личность)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(предъявляется лично)</w:t>
      </w:r>
      <w:r w:rsidRPr="00970151">
        <w:rPr>
          <w:rFonts w:ascii="Arial" w:hAnsi="Arial" w:cs="Arial"/>
          <w:b w:val="0"/>
          <w:bCs w:val="0"/>
          <w:color w:val="000000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000000"/>
          <w:sz w:val="21"/>
          <w:szCs w:val="21"/>
        </w:rPr>
        <w:br/>
      </w:r>
      <w:r w:rsidRPr="00970151">
        <w:rPr>
          <w:rFonts w:ascii="Arial" w:hAnsi="Arial" w:cs="Arial"/>
          <w:b w:val="0"/>
          <w:bCs w:val="0"/>
          <w:i/>
          <w:iCs/>
          <w:color w:val="000000"/>
          <w:sz w:val="21"/>
          <w:szCs w:val="21"/>
        </w:rPr>
        <w:br/>
      </w:r>
      <w:proofErr w:type="gramEnd"/>
    </w:p>
    <w:p w:rsidR="00970151" w:rsidRPr="00970151" w:rsidRDefault="00970151" w:rsidP="0097015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proofErr w:type="gramStart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конверт</w:t>
      </w:r>
      <w:proofErr w:type="gramEnd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 xml:space="preserve"> маркированный простой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пересылки простой письменной корреспонденции в пределах Республики Беларусь)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.</w:t>
      </w:r>
    </w:p>
    <w:p w:rsidR="00970151" w:rsidRPr="00970151" w:rsidRDefault="00970151" w:rsidP="0097015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 </w:t>
      </w:r>
    </w:p>
    <w:p w:rsidR="00970151" w:rsidRPr="00970151" w:rsidRDefault="00970151" w:rsidP="0097015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color w:val="3366FF"/>
          <w:sz w:val="21"/>
          <w:szCs w:val="21"/>
        </w:rPr>
        <w:t>II. </w:t>
      </w:r>
      <w:r w:rsidRPr="00970151">
        <w:rPr>
          <w:rFonts w:ascii="Arial" w:hAnsi="Arial" w:cs="Arial"/>
          <w:color w:val="000000"/>
          <w:sz w:val="21"/>
          <w:szCs w:val="21"/>
        </w:rPr>
        <w:t>Иностранные граждане и лица без гражданства (либо их представители, действующие на основании доверенности, удостоверенной нотариусом или уполномоченным должностным лицом)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, поступающие для получения высшего образования II ступени, подают следующие документы: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заявление на имя ректора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(оформляется в электронном виде в приемной комиссии)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оригинал диплома о высшем образовании и приложения к нему, выданные в Республике Беларусь;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граждан, имеющих дипломы учреждений высшего образования иностранных государств)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 граждан, имеющих дипломы учреждений высшего образования иностранных государств)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документы, подтверждающие белорусскую национальность </w:t>
      </w:r>
      <w:r w:rsidRPr="00970151">
        <w:rPr>
          <w:rFonts w:ascii="Arial" w:hAnsi="Arial" w:cs="Arial"/>
          <w:b w:val="0"/>
          <w:bCs w:val="0"/>
          <w:i/>
          <w:iCs/>
          <w:color w:val="333399"/>
          <w:sz w:val="21"/>
          <w:szCs w:val="21"/>
        </w:rPr>
        <w:t>(для белорусов, являющихся гражданами иностранных государств или лицами без гражданства)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заключение врачебно-консультационной комиссии, выданное территориальной организацией здравоохранения Республики Беларусь после прохождения обязательного медицинского обследования и подтверждающее отсутствие противопоказаний к обучению в Республике Беларусь;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учебу;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 xml:space="preserve">копию документа, удостоверяющего личность, заверенную в установленном порядке; в случае подачи документов представителем предъявляется документ, удостоверяющий личность представителя, и подается копия документа, удостоверяющего личность 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lastRenderedPageBreak/>
        <w:t>поступающего, заверенная в установленном порядке;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br/>
      </w:r>
    </w:p>
    <w:p w:rsidR="00970151" w:rsidRPr="00970151" w:rsidRDefault="00970151" w:rsidP="0097015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4 фотографии размером 3 x 4 см.</w:t>
      </w:r>
    </w:p>
    <w:p w:rsidR="00970151" w:rsidRPr="00970151" w:rsidRDefault="00970151" w:rsidP="0097015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 </w:t>
      </w:r>
    </w:p>
    <w:p w:rsidR="00970151" w:rsidRPr="00970151" w:rsidRDefault="00970151" w:rsidP="00970151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К перечисленным </w:t>
      </w:r>
      <w:r w:rsidRPr="00970151">
        <w:rPr>
          <w:rFonts w:ascii="Arial" w:hAnsi="Arial" w:cs="Arial"/>
          <w:color w:val="800000"/>
          <w:sz w:val="21"/>
          <w:szCs w:val="21"/>
        </w:rPr>
        <w:t>документам, исполненным на иностранном языке</w:t>
      </w:r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 xml:space="preserve">, при наличии легализации или проставления </w:t>
      </w:r>
      <w:proofErr w:type="spellStart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>апостиля</w:t>
      </w:r>
      <w:proofErr w:type="spellEnd"/>
      <w:r w:rsidRPr="00970151">
        <w:rPr>
          <w:rFonts w:ascii="Arial" w:hAnsi="Arial" w:cs="Arial"/>
          <w:b w:val="0"/>
          <w:bCs w:val="0"/>
          <w:color w:val="333333"/>
          <w:sz w:val="21"/>
          <w:szCs w:val="21"/>
        </w:rPr>
        <w:t xml:space="preserve"> одновременно </w:t>
      </w:r>
      <w:r w:rsidRPr="00970151">
        <w:rPr>
          <w:rFonts w:ascii="Arial" w:hAnsi="Arial" w:cs="Arial"/>
          <w:color w:val="333333"/>
          <w:sz w:val="21"/>
          <w:szCs w:val="21"/>
        </w:rPr>
        <w:t>прилагается их перевод на белорусский или русский язык, засвидетельствованный в нотариальном порядке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96"/>
        <w:gridCol w:w="96"/>
      </w:tblGrid>
      <w:tr w:rsidR="00970151" w:rsidRPr="00970151" w:rsidTr="0097015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51" w:rsidRPr="00970151" w:rsidRDefault="00970151" w:rsidP="00970151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  <w:r w:rsidRPr="00970151"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0151" w:rsidRPr="00970151" w:rsidRDefault="00970151" w:rsidP="00970151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51" w:rsidRPr="00970151" w:rsidRDefault="00970151" w:rsidP="0097015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</w:pPr>
          </w:p>
        </w:tc>
      </w:tr>
    </w:tbl>
    <w:p w:rsidR="00AE0340" w:rsidRDefault="00AE0340"/>
    <w:sectPr w:rsidR="00AE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ABE"/>
    <w:multiLevelType w:val="multilevel"/>
    <w:tmpl w:val="22D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83BC4"/>
    <w:multiLevelType w:val="multilevel"/>
    <w:tmpl w:val="098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5C6"/>
    <w:multiLevelType w:val="multilevel"/>
    <w:tmpl w:val="51C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51"/>
    <w:rsid w:val="00330367"/>
    <w:rsid w:val="00970151"/>
    <w:rsid w:val="00A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uiPriority w:val="22"/>
    <w:qFormat/>
    <w:rsid w:val="00330367"/>
    <w:rPr>
      <w:b/>
      <w:bCs/>
    </w:rPr>
  </w:style>
  <w:style w:type="character" w:styleId="a8">
    <w:name w:val="Emphasis"/>
    <w:basedOn w:val="a0"/>
    <w:uiPriority w:val="2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970151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7015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701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151"/>
    <w:rPr>
      <w:rFonts w:ascii="Tahoma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uiPriority w:val="22"/>
    <w:qFormat/>
    <w:rsid w:val="00330367"/>
    <w:rPr>
      <w:b/>
      <w:bCs/>
    </w:rPr>
  </w:style>
  <w:style w:type="character" w:styleId="a8">
    <w:name w:val="Emphasis"/>
    <w:basedOn w:val="a0"/>
    <w:uiPriority w:val="2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970151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7015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701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151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7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it.grsu.by/images/documents/%D0%A1%D0%BF%D0%B8%D1%81%D0%BE%D0%BA_%D1%80%D0%B0%D0%B1%D0%BE%D1%82_%D1%84%D0%BE%D1%80%D0%BC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.grsu.by/images/documents/%D0%A0%D0%B5%D0%BA%D0%BE%D0%BC%D0%B5%D0%BD%D0%B4%D0%B0%D1%86%D0%B8%D1%8F_%D1%84%D0%BE%D1%80%D0%BC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ПАШКЕВИЧ ИРИНА ВИКТОРОВНА</cp:lastModifiedBy>
  <cp:revision>1</cp:revision>
  <dcterms:created xsi:type="dcterms:W3CDTF">2018-05-08T08:14:00Z</dcterms:created>
  <dcterms:modified xsi:type="dcterms:W3CDTF">2018-05-08T08:17:00Z</dcterms:modified>
</cp:coreProperties>
</file>